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9C55" w14:textId="73A414F8" w:rsidR="00691272" w:rsidRDefault="00691272" w:rsidP="00835211">
      <w:bookmarkStart w:id="0" w:name="_Hlk150458656"/>
      <w:bookmarkStart w:id="1" w:name="_Toc400361362"/>
      <w:bookmarkStart w:id="2" w:name="_Toc443397153"/>
      <w:bookmarkStart w:id="3" w:name="_Toc357771638"/>
      <w:bookmarkStart w:id="4" w:name="_Toc346793416"/>
      <w:bookmarkStart w:id="5" w:name="_Toc328122777"/>
    </w:p>
    <w:p w14:paraId="273184CC" w14:textId="6CFAC5DF" w:rsidR="00691272" w:rsidRDefault="00691272" w:rsidP="00835211"/>
    <w:p w14:paraId="27B7A211" w14:textId="726D4268" w:rsidR="00AB005D" w:rsidRDefault="00AB005D" w:rsidP="00691272">
      <w:pPr>
        <w:rPr>
          <w:rFonts w:ascii="Gill Sans MT" w:hAnsi="Gill Sans MT"/>
          <w:b/>
          <w:noProof/>
          <w:sz w:val="52"/>
          <w:szCs w:val="52"/>
          <w:u w:val="single"/>
        </w:rPr>
      </w:pPr>
    </w:p>
    <w:p w14:paraId="4958E907" w14:textId="77777777" w:rsidR="00E4325E" w:rsidRDefault="00E4325E" w:rsidP="00691272">
      <w:pPr>
        <w:rPr>
          <w:rFonts w:ascii="Gill Sans MT" w:hAnsi="Gill Sans MT"/>
          <w:b/>
          <w:noProof/>
          <w:sz w:val="52"/>
          <w:szCs w:val="52"/>
          <w:u w:val="single"/>
        </w:rPr>
      </w:pPr>
    </w:p>
    <w:p w14:paraId="31C057B5" w14:textId="34B12AB9" w:rsidR="00691272" w:rsidRPr="009C29CC" w:rsidRDefault="00691272" w:rsidP="00691272">
      <w:pPr>
        <w:rPr>
          <w:rFonts w:ascii="Gill Sans MT" w:hAnsi="Gill Sans MT"/>
          <w:b/>
          <w:noProof/>
          <w:sz w:val="52"/>
          <w:szCs w:val="52"/>
          <w:u w:val="single"/>
        </w:rPr>
      </w:pPr>
      <w:r>
        <w:rPr>
          <w:rFonts w:ascii="Gill Sans MT" w:hAnsi="Gill Sans MT"/>
          <w:b/>
          <w:noProof/>
          <w:sz w:val="52"/>
          <w:szCs w:val="52"/>
          <w:u w:val="single"/>
        </w:rPr>
        <w:t>Pupil Premium</w:t>
      </w:r>
      <w:r w:rsidRPr="009C29CC">
        <w:rPr>
          <w:rFonts w:ascii="Gill Sans MT" w:hAnsi="Gill Sans MT"/>
          <w:b/>
          <w:noProof/>
          <w:sz w:val="52"/>
          <w:szCs w:val="52"/>
          <w:u w:val="single"/>
        </w:rPr>
        <w:t xml:space="preserve"> Plan</w:t>
      </w:r>
    </w:p>
    <w:p w14:paraId="3AF18D2D" w14:textId="2C410B89" w:rsidR="00691272" w:rsidRDefault="00691272" w:rsidP="00691272">
      <w:pPr>
        <w:rPr>
          <w:rFonts w:ascii="Gill Sans MT" w:hAnsi="Gill Sans MT"/>
          <w:b/>
          <w:noProof/>
          <w:sz w:val="52"/>
          <w:szCs w:val="52"/>
          <w:u w:val="single"/>
        </w:rPr>
      </w:pPr>
      <w:r w:rsidRPr="009C29CC">
        <w:rPr>
          <w:rFonts w:ascii="Gill Sans MT" w:hAnsi="Gill Sans MT"/>
          <w:b/>
          <w:noProof/>
          <w:sz w:val="52"/>
          <w:szCs w:val="52"/>
          <w:u w:val="single"/>
        </w:rPr>
        <w:t>2023-202</w:t>
      </w:r>
      <w:r>
        <w:rPr>
          <w:rFonts w:ascii="Gill Sans MT" w:hAnsi="Gill Sans MT"/>
          <w:b/>
          <w:noProof/>
          <w:sz w:val="52"/>
          <w:szCs w:val="52"/>
          <w:u w:val="single"/>
        </w:rPr>
        <w:t>6</w:t>
      </w:r>
      <w:r w:rsidRPr="009C29CC">
        <w:rPr>
          <w:rFonts w:ascii="Gill Sans MT" w:hAnsi="Gill Sans MT"/>
          <w:b/>
          <w:noProof/>
          <w:sz w:val="52"/>
          <w:szCs w:val="52"/>
          <w:u w:val="single"/>
        </w:rPr>
        <w:t xml:space="preserve"> </w:t>
      </w:r>
    </w:p>
    <w:p w14:paraId="609ADD6E" w14:textId="05E1B9F1" w:rsidR="00AB005D" w:rsidRPr="009C29CC" w:rsidRDefault="00AB005D" w:rsidP="00691272">
      <w:pPr>
        <w:rPr>
          <w:rFonts w:ascii="Gill Sans MT" w:hAnsi="Gill Sans MT"/>
          <w:b/>
          <w:noProof/>
          <w:sz w:val="52"/>
          <w:szCs w:val="52"/>
          <w:u w:val="single"/>
        </w:rPr>
      </w:pPr>
    </w:p>
    <w:p w14:paraId="39F335D1" w14:textId="0BB63C6A" w:rsidR="00835211" w:rsidRPr="00835211" w:rsidRDefault="00835211" w:rsidP="00835211"/>
    <w:p w14:paraId="2A7D54B1" w14:textId="7D86D0F6" w:rsidR="00E66558" w:rsidRDefault="009D71E8">
      <w:pPr>
        <w:pStyle w:val="Heading1"/>
      </w:pPr>
      <w:r>
        <w:lastRenderedPageBreak/>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1"/>
      <w:bookmarkEnd w:id="2"/>
      <w:r w:rsidR="002F3F2B">
        <w:t xml:space="preserve"> </w:t>
      </w:r>
    </w:p>
    <w:p w14:paraId="2A7D54B2" w14:textId="328EE8C8"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65CE978B" w:rsidR="00E66558" w:rsidRDefault="009D71E8">
      <w:pPr>
        <w:pStyle w:val="Heading2"/>
      </w:pPr>
      <w:r>
        <w:t>School overview</w:t>
      </w:r>
      <w:bookmarkEnd w:id="6"/>
      <w:bookmarkEnd w:id="7"/>
      <w:bookmarkEnd w:id="8"/>
      <w:bookmarkEnd w:id="9"/>
      <w:bookmarkEnd w:id="10"/>
      <w:bookmarkEnd w:id="11"/>
      <w:bookmarkEnd w:id="12"/>
      <w:bookmarkEnd w:id="13"/>
      <w:bookmarkEnd w:id="14"/>
      <w:r w:rsidR="004471D8">
        <w:t xml:space="preserve"> (UPDATED SEPT 2023)</w:t>
      </w:r>
    </w:p>
    <w:tbl>
      <w:tblPr>
        <w:tblW w:w="5228" w:type="pct"/>
        <w:tblCellMar>
          <w:left w:w="10" w:type="dxa"/>
          <w:right w:w="10" w:type="dxa"/>
        </w:tblCellMar>
        <w:tblLook w:val="04A0" w:firstRow="1" w:lastRow="0" w:firstColumn="1" w:lastColumn="0" w:noHBand="0" w:noVBand="1"/>
      </w:tblPr>
      <w:tblGrid>
        <w:gridCol w:w="5933"/>
        <w:gridCol w:w="3986"/>
      </w:tblGrid>
      <w:tr w:rsidR="00E66558" w14:paraId="2A7D54B7" w14:textId="77777777" w:rsidTr="00E4325E">
        <w:tc>
          <w:tcPr>
            <w:tcW w:w="59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9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E4325E">
        <w:tc>
          <w:tcPr>
            <w:tcW w:w="5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DA06E8C" w:rsidR="00E66558" w:rsidRDefault="00BE2B94">
            <w:pPr>
              <w:pStyle w:val="TableRow"/>
            </w:pPr>
            <w:r>
              <w:t>Weston Point Primary</w:t>
            </w:r>
            <w:r w:rsidR="00E4325E">
              <w:t xml:space="preserve"> Academy</w:t>
            </w:r>
          </w:p>
        </w:tc>
      </w:tr>
      <w:tr w:rsidR="00E66558" w14:paraId="2A7D54BD" w14:textId="77777777" w:rsidTr="00E4325E">
        <w:tc>
          <w:tcPr>
            <w:tcW w:w="5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0D2DF91" w:rsidR="00E66558" w:rsidRDefault="00BE2B94">
            <w:pPr>
              <w:pStyle w:val="TableRow"/>
            </w:pPr>
            <w:r>
              <w:t>10</w:t>
            </w:r>
            <w:r w:rsidR="00104D77">
              <w:t>8</w:t>
            </w:r>
          </w:p>
        </w:tc>
      </w:tr>
      <w:tr w:rsidR="00E66558" w14:paraId="2A7D54C0" w14:textId="77777777" w:rsidTr="00E4325E">
        <w:tc>
          <w:tcPr>
            <w:tcW w:w="5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DEAA363" w:rsidR="00E66558" w:rsidRDefault="00423B14">
            <w:pPr>
              <w:pStyle w:val="TableRow"/>
            </w:pPr>
            <w:r>
              <w:t>34%</w:t>
            </w:r>
          </w:p>
        </w:tc>
      </w:tr>
      <w:tr w:rsidR="00E66558" w14:paraId="2A7D54C3" w14:textId="77777777" w:rsidTr="00E4325E">
        <w:trPr>
          <w:trHeight w:val="1140"/>
        </w:trPr>
        <w:tc>
          <w:tcPr>
            <w:tcW w:w="5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3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F461E88" w:rsidR="00E66558" w:rsidRDefault="00B14EA9">
            <w:pPr>
              <w:pStyle w:val="TableRow"/>
            </w:pPr>
            <w:r>
              <w:t>202</w:t>
            </w:r>
            <w:r w:rsidR="00BE2B94">
              <w:t>3</w:t>
            </w:r>
            <w:r>
              <w:t>-202</w:t>
            </w:r>
            <w:r w:rsidR="007440AB">
              <w:t>6</w:t>
            </w:r>
          </w:p>
        </w:tc>
      </w:tr>
      <w:tr w:rsidR="00E66558" w14:paraId="2A7D54C6" w14:textId="77777777" w:rsidTr="00E4325E">
        <w:tc>
          <w:tcPr>
            <w:tcW w:w="5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979BC46" w:rsidR="00E66558" w:rsidRDefault="007C5F8B">
            <w:pPr>
              <w:pStyle w:val="TableRow"/>
            </w:pPr>
            <w:r>
              <w:t>November</w:t>
            </w:r>
            <w:r w:rsidR="00BE2B94">
              <w:t xml:space="preserve"> 2023</w:t>
            </w:r>
          </w:p>
        </w:tc>
      </w:tr>
      <w:tr w:rsidR="00C70DF6" w14:paraId="2A7D54C9" w14:textId="77777777" w:rsidTr="00E4325E">
        <w:tc>
          <w:tcPr>
            <w:tcW w:w="5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C70DF6" w:rsidRDefault="00C70DF6">
            <w:pPr>
              <w:pStyle w:val="TableRow"/>
            </w:pPr>
            <w:r>
              <w:rPr>
                <w:szCs w:val="22"/>
              </w:rPr>
              <w:t>Date on which it will be reviewed</w:t>
            </w:r>
          </w:p>
        </w:tc>
        <w:tc>
          <w:tcPr>
            <w:tcW w:w="3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4882" w14:textId="7AEDB5C0" w:rsidR="00C70DF6" w:rsidRDefault="00C70DF6">
            <w:pPr>
              <w:pStyle w:val="TableRow"/>
            </w:pPr>
            <w:r>
              <w:t>August 202</w:t>
            </w:r>
            <w:r w:rsidR="00BE2B94">
              <w:t>4</w:t>
            </w:r>
          </w:p>
          <w:p w14:paraId="6D4AAD94" w14:textId="39A99E5B" w:rsidR="00C70DF6" w:rsidRDefault="00C70DF6">
            <w:pPr>
              <w:pStyle w:val="TableRow"/>
            </w:pPr>
            <w:r>
              <w:t>August 202</w:t>
            </w:r>
            <w:r w:rsidR="00BE2B94">
              <w:t>5</w:t>
            </w:r>
          </w:p>
          <w:p w14:paraId="4883068B" w14:textId="269C4E22" w:rsidR="007440AB" w:rsidRDefault="007440AB">
            <w:pPr>
              <w:pStyle w:val="TableRow"/>
            </w:pPr>
            <w:r>
              <w:t>August 2026</w:t>
            </w:r>
          </w:p>
          <w:p w14:paraId="2A7D54C8" w14:textId="6B69202C" w:rsidR="00C70DF6" w:rsidRDefault="00C70DF6" w:rsidP="007440AB">
            <w:pPr>
              <w:pStyle w:val="TableRow"/>
              <w:ind w:left="0"/>
            </w:pPr>
          </w:p>
        </w:tc>
      </w:tr>
      <w:tr w:rsidR="00E66558" w14:paraId="2A7D54CC" w14:textId="77777777" w:rsidTr="00E4325E">
        <w:tc>
          <w:tcPr>
            <w:tcW w:w="5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F8257F" w:rsidR="00E66558" w:rsidRDefault="007440AB">
            <w:pPr>
              <w:pStyle w:val="TableRow"/>
            </w:pPr>
            <w:r>
              <w:t>Governing Body</w:t>
            </w:r>
          </w:p>
        </w:tc>
      </w:tr>
      <w:tr w:rsidR="00E66558" w14:paraId="2A7D54CF" w14:textId="77777777" w:rsidTr="00E4325E">
        <w:tc>
          <w:tcPr>
            <w:tcW w:w="5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E8FCF7E" w:rsidR="00E66558" w:rsidRDefault="007C5F8B">
            <w:pPr>
              <w:pStyle w:val="TableRow"/>
            </w:pPr>
            <w:r>
              <w:t>Helen Thompson</w:t>
            </w:r>
          </w:p>
        </w:tc>
      </w:tr>
      <w:tr w:rsidR="00E66558" w14:paraId="2A7D54D2" w14:textId="77777777" w:rsidTr="00E4325E">
        <w:tc>
          <w:tcPr>
            <w:tcW w:w="5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EB2F5FF" w:rsidR="00E66558" w:rsidRDefault="00E66558" w:rsidP="007C5F8B">
            <w:pPr>
              <w:pStyle w:val="TableRow"/>
              <w:ind w:left="0"/>
            </w:pPr>
          </w:p>
        </w:tc>
      </w:tr>
    </w:tbl>
    <w:bookmarkEnd w:id="3"/>
    <w:bookmarkEnd w:id="4"/>
    <w:bookmarkEnd w:id="5"/>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5468"/>
        <w:gridCol w:w="1439"/>
        <w:gridCol w:w="1398"/>
        <w:gridCol w:w="1181"/>
      </w:tblGrid>
      <w:tr w:rsidR="008075F2" w14:paraId="2A7D54D6" w14:textId="2F0247DA" w:rsidTr="008075F2">
        <w:trPr>
          <w:trHeight w:val="374"/>
        </w:trPr>
        <w:tc>
          <w:tcPr>
            <w:tcW w:w="54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8075F2" w:rsidRDefault="008075F2">
            <w:pPr>
              <w:pStyle w:val="TableRow"/>
            </w:pPr>
            <w:r>
              <w:rPr>
                <w:b/>
              </w:rPr>
              <w:t>Detail</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8075F2" w:rsidRDefault="008075F2">
            <w:pPr>
              <w:pStyle w:val="TableRow"/>
            </w:pPr>
            <w:r>
              <w:rPr>
                <w:b/>
              </w:rPr>
              <w:t>Amount</w:t>
            </w:r>
          </w:p>
        </w:tc>
        <w:tc>
          <w:tcPr>
            <w:tcW w:w="1181" w:type="dxa"/>
            <w:tcBorders>
              <w:top w:val="single" w:sz="4" w:space="0" w:color="000000"/>
              <w:left w:val="single" w:sz="4" w:space="0" w:color="000000"/>
              <w:bottom w:val="single" w:sz="4" w:space="0" w:color="000000"/>
              <w:right w:val="single" w:sz="4" w:space="0" w:color="000000"/>
            </w:tcBorders>
            <w:shd w:val="clear" w:color="auto" w:fill="D8E2E9"/>
          </w:tcPr>
          <w:p w14:paraId="058B3DC1" w14:textId="77777777" w:rsidR="008075F2" w:rsidRDefault="008075F2">
            <w:pPr>
              <w:pStyle w:val="TableRow"/>
              <w:rPr>
                <w:b/>
              </w:rPr>
            </w:pPr>
          </w:p>
        </w:tc>
      </w:tr>
      <w:tr w:rsidR="008075F2" w14:paraId="58BAC09A" w14:textId="371F40F1" w:rsidTr="008075F2">
        <w:trPr>
          <w:trHeight w:val="374"/>
        </w:trPr>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BA7A9" w14:textId="77777777" w:rsidR="008075F2" w:rsidRDefault="008075F2">
            <w:pPr>
              <w:pStyle w:val="TableRow"/>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CCD9" w14:textId="43B0815B" w:rsidR="008075F2" w:rsidRDefault="007C5F8B">
            <w:pPr>
              <w:pStyle w:val="TableRow"/>
            </w:pPr>
            <w:r>
              <w:t>2023-24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23BE5B21" w14:textId="11013004" w:rsidR="008075F2" w:rsidRDefault="007C5F8B">
            <w:pPr>
              <w:pStyle w:val="TableRow"/>
            </w:pPr>
            <w:r>
              <w:t>2024-25</w:t>
            </w:r>
          </w:p>
        </w:tc>
        <w:tc>
          <w:tcPr>
            <w:tcW w:w="1181" w:type="dxa"/>
            <w:tcBorders>
              <w:top w:val="single" w:sz="4" w:space="0" w:color="000000"/>
              <w:left w:val="single" w:sz="4" w:space="0" w:color="000000"/>
              <w:bottom w:val="single" w:sz="4" w:space="0" w:color="000000"/>
              <w:right w:val="single" w:sz="4" w:space="0" w:color="000000"/>
            </w:tcBorders>
          </w:tcPr>
          <w:p w14:paraId="450B1F1D" w14:textId="1B4B880E" w:rsidR="008075F2" w:rsidRDefault="007440AB">
            <w:pPr>
              <w:pStyle w:val="TableRow"/>
            </w:pPr>
            <w:r>
              <w:t>2025-26</w:t>
            </w:r>
          </w:p>
        </w:tc>
      </w:tr>
      <w:tr w:rsidR="008075F2" w14:paraId="2A7D54D9" w14:textId="1D81EEDC" w:rsidTr="008075F2">
        <w:trPr>
          <w:trHeight w:val="374"/>
        </w:trPr>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8075F2" w:rsidRDefault="008075F2">
            <w:pPr>
              <w:pStyle w:val="TableRow"/>
            </w:pPr>
            <w:r>
              <w:t>Pupil premium funding allocation this academic year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8576" w14:textId="29AFA720" w:rsidR="008075F2" w:rsidRDefault="008075F2">
            <w:pPr>
              <w:pStyle w:val="TableRow"/>
            </w:pPr>
            <w:r>
              <w:t>£</w:t>
            </w:r>
            <w:r w:rsidR="00BE2B94">
              <w:t>6</w:t>
            </w:r>
            <w:r w:rsidR="00816C06">
              <w:t>9840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2A7D54D8" w14:textId="432C04EE" w:rsidR="00C430F2" w:rsidRPr="00633FC7" w:rsidRDefault="00C430F2">
            <w:pPr>
              <w:pStyle w:val="TableRow"/>
              <w:rPr>
                <w:sz w:val="18"/>
                <w:szCs w:val="18"/>
              </w:rPr>
            </w:pPr>
          </w:p>
        </w:tc>
        <w:tc>
          <w:tcPr>
            <w:tcW w:w="1181" w:type="dxa"/>
            <w:tcBorders>
              <w:top w:val="single" w:sz="4" w:space="0" w:color="000000"/>
              <w:left w:val="single" w:sz="4" w:space="0" w:color="000000"/>
              <w:bottom w:val="single" w:sz="4" w:space="0" w:color="000000"/>
              <w:right w:val="single" w:sz="4" w:space="0" w:color="000000"/>
            </w:tcBorders>
          </w:tcPr>
          <w:p w14:paraId="1CB52FC9" w14:textId="0BC8CB35" w:rsidR="008075F2" w:rsidRDefault="008075F2" w:rsidP="007C5F8B">
            <w:pPr>
              <w:pStyle w:val="TableRow"/>
              <w:ind w:left="0"/>
            </w:pPr>
          </w:p>
        </w:tc>
      </w:tr>
      <w:tr w:rsidR="008075F2" w14:paraId="2A7D54DC" w14:textId="301CB99A" w:rsidTr="008075F2">
        <w:trPr>
          <w:trHeight w:val="374"/>
        </w:trPr>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8075F2" w:rsidRDefault="008075F2">
            <w:pPr>
              <w:pStyle w:val="TableRow"/>
            </w:pPr>
            <w:r>
              <w:t>Recovery premium funding allocation this academic year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8BA8" w14:textId="55BADCCC" w:rsidR="008075F2" w:rsidRDefault="008075F2">
            <w:pPr>
              <w:pStyle w:val="TableRow"/>
            </w:pPr>
            <w:r>
              <w:t>£</w:t>
            </w:r>
            <w:r w:rsidR="00BA44F7">
              <w:t>8555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2A7D54DB" w14:textId="17F48F3D" w:rsidR="008075F2" w:rsidRDefault="008075F2">
            <w:pPr>
              <w:pStyle w:val="TableRow"/>
            </w:pPr>
          </w:p>
        </w:tc>
        <w:tc>
          <w:tcPr>
            <w:tcW w:w="1181" w:type="dxa"/>
            <w:tcBorders>
              <w:top w:val="single" w:sz="4" w:space="0" w:color="000000"/>
              <w:left w:val="single" w:sz="4" w:space="0" w:color="000000"/>
              <w:bottom w:val="single" w:sz="4" w:space="0" w:color="000000"/>
              <w:right w:val="single" w:sz="4" w:space="0" w:color="000000"/>
            </w:tcBorders>
          </w:tcPr>
          <w:p w14:paraId="590903B0" w14:textId="181D5BDE" w:rsidR="008075F2" w:rsidRDefault="008075F2" w:rsidP="007C5F8B">
            <w:pPr>
              <w:pStyle w:val="TableRow"/>
              <w:ind w:left="0"/>
            </w:pPr>
          </w:p>
        </w:tc>
      </w:tr>
      <w:tr w:rsidR="008075F2" w14:paraId="2A7D54DF" w14:textId="757CED60" w:rsidTr="008075F2">
        <w:trPr>
          <w:trHeight w:val="374"/>
        </w:trPr>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8075F2" w:rsidRDefault="008075F2">
            <w:pPr>
              <w:pStyle w:val="TableRow"/>
            </w:pPr>
            <w:r>
              <w:t>Pupil premium funding carried forward from previous years (enter £0 if not applicable)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FFFE" w14:textId="6FF4B26C" w:rsidR="008075F2" w:rsidRDefault="00816C06">
            <w:pPr>
              <w:pStyle w:val="TableRow"/>
            </w:pPr>
            <w:r w:rsidRPr="00816C06">
              <w:rPr>
                <w:color w:val="FF0000"/>
              </w:rPr>
              <w:t>-</w:t>
            </w:r>
            <w:r w:rsidR="008075F2" w:rsidRPr="00816C06">
              <w:rPr>
                <w:color w:val="FF0000"/>
              </w:rPr>
              <w:t>£</w:t>
            </w:r>
            <w:r w:rsidRPr="00816C06">
              <w:rPr>
                <w:color w:val="FF0000"/>
              </w:rPr>
              <w:t>1455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2A7D54DE" w14:textId="676F8733" w:rsidR="008075F2" w:rsidRDefault="008075F2">
            <w:pPr>
              <w:pStyle w:val="TableRow"/>
            </w:pPr>
          </w:p>
        </w:tc>
        <w:tc>
          <w:tcPr>
            <w:tcW w:w="1181" w:type="dxa"/>
            <w:tcBorders>
              <w:top w:val="single" w:sz="4" w:space="0" w:color="000000"/>
              <w:left w:val="single" w:sz="4" w:space="0" w:color="000000"/>
              <w:bottom w:val="single" w:sz="4" w:space="0" w:color="000000"/>
              <w:right w:val="single" w:sz="4" w:space="0" w:color="000000"/>
            </w:tcBorders>
          </w:tcPr>
          <w:p w14:paraId="54AB71A9" w14:textId="7EEB47BF" w:rsidR="008075F2" w:rsidRDefault="008075F2">
            <w:pPr>
              <w:pStyle w:val="TableRow"/>
            </w:pPr>
          </w:p>
        </w:tc>
      </w:tr>
      <w:tr w:rsidR="008075F2" w14:paraId="2A7D54E3" w14:textId="6082BBCE" w:rsidTr="008075F2">
        <w:tc>
          <w:tcPr>
            <w:tcW w:w="5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317B88F5" w:rsidR="008075F2" w:rsidRDefault="008075F2">
            <w:pPr>
              <w:pStyle w:val="TableRow"/>
              <w:rPr>
                <w:b/>
              </w:rPr>
            </w:pPr>
            <w:r>
              <w:rPr>
                <w:b/>
              </w:rPr>
              <w:t>Expected total budget for this academic year</w:t>
            </w:r>
          </w:p>
          <w:p w14:paraId="2A7D54E1" w14:textId="77777777" w:rsidR="008075F2" w:rsidRDefault="008075F2">
            <w:pPr>
              <w:pStyle w:val="TableRow"/>
            </w:pPr>
            <w:r>
              <w:t>If your school is an academy in a trust that pools this funding, state the amount available to your school this academic year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93D2" w14:textId="280C74AD" w:rsidR="008075F2" w:rsidRDefault="008075F2">
            <w:pPr>
              <w:pStyle w:val="TableRow"/>
            </w:pPr>
            <w:r>
              <w:t>£</w:t>
            </w:r>
            <w:r w:rsidR="00BA44F7">
              <w:t>76940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2A7D54E2" w14:textId="3CA28DF0" w:rsidR="00BF6396" w:rsidRDefault="00BF6396" w:rsidP="007C5F8B">
            <w:pPr>
              <w:pStyle w:val="TableRow"/>
            </w:pPr>
          </w:p>
        </w:tc>
        <w:tc>
          <w:tcPr>
            <w:tcW w:w="1181" w:type="dxa"/>
            <w:tcBorders>
              <w:top w:val="single" w:sz="4" w:space="0" w:color="000000"/>
              <w:left w:val="single" w:sz="4" w:space="0" w:color="000000"/>
              <w:bottom w:val="single" w:sz="4" w:space="0" w:color="000000"/>
              <w:right w:val="single" w:sz="4" w:space="0" w:color="000000"/>
            </w:tcBorders>
          </w:tcPr>
          <w:p w14:paraId="126BB6BE" w14:textId="31F4F093" w:rsidR="008075F2" w:rsidRDefault="008075F2">
            <w:pPr>
              <w:pStyle w:val="TableRow"/>
            </w:pP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725C" w14:textId="7EA6A0D7" w:rsidR="009F5ECB" w:rsidRDefault="00C9723A">
            <w:pPr>
              <w:spacing w:before="120"/>
            </w:pPr>
            <w:r w:rsidRPr="009F5ECB">
              <w:t>W</w:t>
            </w:r>
            <w:r w:rsidR="00BE2B94" w:rsidRPr="009F5ECB">
              <w:t xml:space="preserve">eston Point Primary </w:t>
            </w:r>
            <w:r w:rsidR="00E4325E">
              <w:t>Academy</w:t>
            </w:r>
            <w:r w:rsidRPr="009F5ECB">
              <w:t xml:space="preserve"> is committed to ensuring that all pupils strive for academic excellence </w:t>
            </w:r>
            <w:r w:rsidR="00311BF7" w:rsidRPr="009F5ECB">
              <w:t>and have opportunities for strong personal development.  At Weston Point we want to ensure that children</w:t>
            </w:r>
            <w:r w:rsidR="009C2105">
              <w:t xml:space="preserve"> are motivated, </w:t>
            </w:r>
            <w:proofErr w:type="gramStart"/>
            <w:r w:rsidR="009C2105">
              <w:t>confident</w:t>
            </w:r>
            <w:proofErr w:type="gramEnd"/>
            <w:r w:rsidR="00676127">
              <w:t xml:space="preserve"> and </w:t>
            </w:r>
            <w:r w:rsidR="009C2105">
              <w:t>aspirational and</w:t>
            </w:r>
            <w:r w:rsidR="00311BF7" w:rsidRPr="009F5ECB">
              <w:t xml:space="preserve"> develop into lifelong learners </w:t>
            </w:r>
            <w:r w:rsidR="009C2105">
              <w:t>that can</w:t>
            </w:r>
            <w:r w:rsidR="00311BF7" w:rsidRPr="009F5ECB">
              <w:t xml:space="preserve"> contribute successfully to society.  </w:t>
            </w:r>
            <w:r w:rsidR="00D164B7">
              <w:t xml:space="preserve">Our vision is that every child can meet their full potential </w:t>
            </w:r>
            <w:r w:rsidR="003C5B0A">
              <w:t xml:space="preserve">in an inclusive </w:t>
            </w:r>
            <w:proofErr w:type="gramStart"/>
            <w:r w:rsidR="003C5B0A">
              <w:t>environment</w:t>
            </w:r>
            <w:proofErr w:type="gramEnd"/>
            <w:r w:rsidR="003C5B0A">
              <w:t xml:space="preserve"> and we strongly believe </w:t>
            </w:r>
            <w:r w:rsidR="00311BF7" w:rsidRPr="009F5ECB">
              <w:t>that disadvantage should not be a barrier to th</w:t>
            </w:r>
            <w:r w:rsidR="00D164B7">
              <w:t xml:space="preserve">at.  We </w:t>
            </w:r>
            <w:r w:rsidR="00311BF7" w:rsidRPr="009F5ECB">
              <w:t>are determined to have high expectations of all children</w:t>
            </w:r>
            <w:r w:rsidR="009F5ECB" w:rsidRPr="009F5ECB">
              <w:t>.</w:t>
            </w:r>
            <w:r w:rsidR="00D164B7">
              <w:t xml:space="preserve"> </w:t>
            </w:r>
          </w:p>
          <w:p w14:paraId="25465B0D" w14:textId="3D510FA5" w:rsidR="009F5ECB" w:rsidRDefault="009F5ECB">
            <w:pPr>
              <w:spacing w:before="120"/>
            </w:pPr>
            <w:r>
              <w:t xml:space="preserve">Our </w:t>
            </w:r>
            <w:r w:rsidR="00334D64">
              <w:t>objectives are to</w:t>
            </w:r>
            <w:r w:rsidR="00EE68B6">
              <w:t>:</w:t>
            </w:r>
          </w:p>
          <w:p w14:paraId="3A9CE9D8" w14:textId="6C631FBF" w:rsidR="00EE68B6" w:rsidRDefault="00EE68B6" w:rsidP="00EE68B6">
            <w:pPr>
              <w:pStyle w:val="ListParagraph"/>
              <w:numPr>
                <w:ilvl w:val="0"/>
                <w:numId w:val="17"/>
              </w:numPr>
              <w:spacing w:before="120"/>
            </w:pPr>
            <w:r>
              <w:t>Improve academic progress and attainment in line with national expectations for children and narrow the gap between disadvantaged and non-disadvantaged pupils</w:t>
            </w:r>
            <w:r w:rsidR="00CC65C5">
              <w:t xml:space="preserve"> in reading, writing, </w:t>
            </w:r>
            <w:proofErr w:type="gramStart"/>
            <w:r w:rsidR="00CC65C5">
              <w:t>mathematics</w:t>
            </w:r>
            <w:proofErr w:type="gramEnd"/>
            <w:r w:rsidR="00CC65C5">
              <w:t xml:space="preserve"> and phonics across the school.</w:t>
            </w:r>
          </w:p>
          <w:p w14:paraId="3A54C5B9" w14:textId="5F240DDF" w:rsidR="00CC65C5" w:rsidRDefault="00CC65C5" w:rsidP="00EE68B6">
            <w:pPr>
              <w:pStyle w:val="ListParagraph"/>
              <w:numPr>
                <w:ilvl w:val="0"/>
                <w:numId w:val="17"/>
              </w:numPr>
              <w:spacing w:before="120"/>
            </w:pPr>
            <w:r>
              <w:t xml:space="preserve">Provide high-quality </w:t>
            </w:r>
            <w:r w:rsidR="000D0795">
              <w:t>targeted support</w:t>
            </w:r>
            <w:r>
              <w:t xml:space="preserve"> for </w:t>
            </w:r>
            <w:r w:rsidR="000D0795">
              <w:t>children who are not achieving in line with national averages or who are not making expected progress.</w:t>
            </w:r>
          </w:p>
          <w:p w14:paraId="75ACFD70" w14:textId="065B1FC1" w:rsidR="00EE68B6" w:rsidRDefault="00EE68B6" w:rsidP="00EE68B6">
            <w:pPr>
              <w:pStyle w:val="ListParagraph"/>
              <w:numPr>
                <w:ilvl w:val="0"/>
                <w:numId w:val="17"/>
              </w:numPr>
              <w:spacing w:before="120"/>
            </w:pPr>
            <w:r>
              <w:t xml:space="preserve">To </w:t>
            </w:r>
            <w:r w:rsidR="000D0795">
              <w:t xml:space="preserve">address barriers to learning so that children can reach their full potential. These barriers include poor attendance, difficulties with social, </w:t>
            </w:r>
            <w:proofErr w:type="gramStart"/>
            <w:r w:rsidR="000D0795">
              <w:t>emotional</w:t>
            </w:r>
            <w:proofErr w:type="gramEnd"/>
            <w:r w:rsidR="000D0795">
              <w:t xml:space="preserve"> and mental health and delayed speech and language.</w:t>
            </w:r>
          </w:p>
          <w:p w14:paraId="6C941D6D" w14:textId="7C79C135" w:rsidR="00D164B7" w:rsidRDefault="000D0795" w:rsidP="00EE68B6">
            <w:pPr>
              <w:pStyle w:val="ListParagraph"/>
              <w:numPr>
                <w:ilvl w:val="0"/>
                <w:numId w:val="17"/>
              </w:numPr>
              <w:spacing w:before="120"/>
            </w:pPr>
            <w:r>
              <w:t xml:space="preserve">Ensure </w:t>
            </w:r>
            <w:r w:rsidR="00AB7D47">
              <w:t xml:space="preserve">that parents </w:t>
            </w:r>
            <w:r w:rsidR="003C5B0A">
              <w:t>have the support and knowledge to work in partnership with the school to support children’s learning and barriers are addressed.</w:t>
            </w:r>
          </w:p>
          <w:p w14:paraId="2A593E7A" w14:textId="3BDE0867" w:rsidR="003C5B0A" w:rsidRDefault="003C5B0A" w:rsidP="00EE68B6">
            <w:pPr>
              <w:pStyle w:val="ListParagraph"/>
              <w:numPr>
                <w:ilvl w:val="0"/>
                <w:numId w:val="17"/>
              </w:numPr>
              <w:spacing w:before="120"/>
            </w:pPr>
            <w:r>
              <w:t>Enhance the cultural capital of children who are disadvantaged through enrichment and wider opportunities that extend beyond the curriculum.</w:t>
            </w:r>
          </w:p>
          <w:p w14:paraId="0B1F3D3F" w14:textId="31785778" w:rsidR="003C5B0A" w:rsidRDefault="00691272">
            <w:pPr>
              <w:spacing w:before="120"/>
            </w:pPr>
            <w:r>
              <w:t xml:space="preserve">This </w:t>
            </w:r>
            <w:proofErr w:type="gramStart"/>
            <w:r>
              <w:t>strategy  is</w:t>
            </w:r>
            <w:proofErr w:type="gramEnd"/>
            <w:r>
              <w:t xml:space="preserve"> closely linked to our School Development Plan. </w:t>
            </w:r>
            <w:r w:rsidR="003C5B0A">
              <w:t>Ensuring excellent teaching and learning is at the centre of our approach for all our children and is integral in closing the gap between our disadvantaged and non-disadvantaged children</w:t>
            </w:r>
            <w:r w:rsidR="00802D70">
              <w:t xml:space="preserve">. </w:t>
            </w:r>
          </w:p>
          <w:p w14:paraId="2A7D54E9" w14:textId="5E79750B" w:rsidR="00B75263" w:rsidRPr="004859F8" w:rsidRDefault="00B75263" w:rsidP="00B75263">
            <w:pPr>
              <w:spacing w:after="0"/>
              <w:rPr>
                <w:i/>
                <w:iCs/>
              </w:rPr>
            </w:pPr>
            <w:r>
              <w:rPr>
                <w:i/>
                <w:iCs/>
              </w:rPr>
              <w:t>.</w:t>
            </w:r>
          </w:p>
        </w:tc>
      </w:tr>
    </w:tbl>
    <w:p w14:paraId="2A7D54EB" w14:textId="42DB70AB"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BF56ED" w14:paraId="390454F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56EA2" w14:textId="7D87B647" w:rsidR="00BF56ED" w:rsidRDefault="00F93A77">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C7031" w14:textId="0643FC94" w:rsidR="000167D8" w:rsidRPr="0081115D" w:rsidRDefault="000167D8" w:rsidP="000167D8">
            <w:pPr>
              <w:pStyle w:val="TableRowCentered"/>
              <w:ind w:left="0"/>
              <w:jc w:val="left"/>
              <w:rPr>
                <w:sz w:val="22"/>
                <w:szCs w:val="22"/>
              </w:rPr>
            </w:pPr>
            <w:r>
              <w:rPr>
                <w:sz w:val="22"/>
                <w:szCs w:val="22"/>
              </w:rPr>
              <w:t>To close the gap in attainment in reading, writing and maths across the school</w:t>
            </w:r>
          </w:p>
          <w:p w14:paraId="28C2174B" w14:textId="60498E19" w:rsidR="00BF56ED" w:rsidRPr="0081115D" w:rsidRDefault="00BF56ED" w:rsidP="00E3233E">
            <w:pPr>
              <w:pStyle w:val="TableRowCentered"/>
              <w:ind w:left="0"/>
              <w:jc w:val="left"/>
              <w:rPr>
                <w:sz w:val="22"/>
                <w:szCs w:val="22"/>
              </w:rPr>
            </w:pPr>
          </w:p>
        </w:tc>
      </w:tr>
      <w:tr w:rsidR="00CF30E3" w14:paraId="3AFE8DE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B17DA" w14:textId="5295B615" w:rsidR="00CF30E3" w:rsidRDefault="00CF30E3">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EA6B8" w14:textId="4A7FF126" w:rsidR="00CF30E3" w:rsidRDefault="00CF30E3" w:rsidP="000167D8">
            <w:pPr>
              <w:pStyle w:val="TableRowCentered"/>
              <w:ind w:left="0"/>
              <w:jc w:val="left"/>
              <w:rPr>
                <w:sz w:val="22"/>
                <w:szCs w:val="22"/>
              </w:rPr>
            </w:pPr>
            <w:r>
              <w:rPr>
                <w:sz w:val="22"/>
                <w:szCs w:val="22"/>
              </w:rPr>
              <w:t>Speech, Language and Communication needs across the school</w:t>
            </w:r>
            <w:r w:rsidR="00FB3BB4">
              <w:rPr>
                <w:sz w:val="22"/>
                <w:szCs w:val="22"/>
              </w:rPr>
              <w:t xml:space="preserve"> leads to delayed language skills</w:t>
            </w:r>
          </w:p>
        </w:tc>
      </w:tr>
      <w:tr w:rsidR="0081115D" w14:paraId="5C2FA3A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B5B1B" w14:textId="53D88C78" w:rsidR="0081115D" w:rsidRDefault="000167D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41642" w14:textId="3098536F" w:rsidR="0081115D" w:rsidRDefault="00E3233E" w:rsidP="00F36269">
            <w:pPr>
              <w:pStyle w:val="TableRowCentered"/>
              <w:jc w:val="left"/>
              <w:rPr>
                <w:iCs/>
                <w:sz w:val="22"/>
                <w:szCs w:val="22"/>
              </w:rPr>
            </w:pPr>
            <w:r>
              <w:rPr>
                <w:iCs/>
                <w:sz w:val="22"/>
                <w:szCs w:val="22"/>
              </w:rPr>
              <w:t xml:space="preserve">There is an increasing number </w:t>
            </w:r>
            <w:r w:rsidR="0081115D">
              <w:rPr>
                <w:iCs/>
                <w:sz w:val="22"/>
                <w:szCs w:val="22"/>
              </w:rPr>
              <w:t>of disadvantaged pupils who face difficulty</w:t>
            </w:r>
            <w:r w:rsidR="00E15D08">
              <w:rPr>
                <w:iCs/>
                <w:sz w:val="22"/>
                <w:szCs w:val="22"/>
              </w:rPr>
              <w:t xml:space="preserve"> with SEMH</w:t>
            </w:r>
            <w:r w:rsidR="0081115D">
              <w:rPr>
                <w:iCs/>
                <w:sz w:val="22"/>
                <w:szCs w:val="22"/>
              </w:rPr>
              <w:t xml:space="preserve"> in</w:t>
            </w:r>
            <w:r w:rsidR="00E45387">
              <w:rPr>
                <w:iCs/>
                <w:sz w:val="22"/>
                <w:szCs w:val="22"/>
              </w:rPr>
              <w:t xml:space="preserve"> managing their emotions and </w:t>
            </w:r>
            <w:proofErr w:type="gramStart"/>
            <w:r w:rsidR="00E45387">
              <w:rPr>
                <w:iCs/>
                <w:sz w:val="22"/>
                <w:szCs w:val="22"/>
              </w:rPr>
              <w:t>behaviour</w:t>
            </w:r>
            <w:r w:rsidR="0081115D">
              <w:rPr>
                <w:iCs/>
                <w:sz w:val="22"/>
                <w:szCs w:val="22"/>
              </w:rPr>
              <w:t xml:space="preserve">, </w:t>
            </w:r>
            <w:r w:rsidR="00F36269">
              <w:rPr>
                <w:iCs/>
                <w:sz w:val="22"/>
                <w:szCs w:val="22"/>
              </w:rPr>
              <w:t>and</w:t>
            </w:r>
            <w:proofErr w:type="gramEnd"/>
            <w:r w:rsidR="00F36269">
              <w:rPr>
                <w:iCs/>
                <w:sz w:val="22"/>
                <w:szCs w:val="22"/>
              </w:rPr>
              <w:t xml:space="preserve"> </w:t>
            </w:r>
            <w:r w:rsidR="00E45387">
              <w:rPr>
                <w:iCs/>
                <w:sz w:val="22"/>
                <w:szCs w:val="22"/>
              </w:rPr>
              <w:t xml:space="preserve">have difficulties in building and maintaining </w:t>
            </w:r>
            <w:r w:rsidR="00F36269">
              <w:rPr>
                <w:iCs/>
                <w:sz w:val="22"/>
                <w:szCs w:val="22"/>
              </w:rPr>
              <w:t>relationships with peers</w:t>
            </w:r>
            <w:r w:rsidR="00E00544">
              <w:rPr>
                <w:iCs/>
                <w:sz w:val="22"/>
                <w:szCs w:val="22"/>
              </w:rPr>
              <w:t xml:space="preserve"> </w:t>
            </w:r>
            <w:r w:rsidR="000167D8">
              <w:rPr>
                <w:iCs/>
                <w:sz w:val="22"/>
                <w:szCs w:val="22"/>
              </w:rPr>
              <w:t>throughout the school.</w:t>
            </w:r>
            <w:r w:rsidR="00F36269">
              <w:rPr>
                <w:iCs/>
                <w:sz w:val="22"/>
                <w:szCs w:val="22"/>
              </w:rPr>
              <w:t xml:space="preserve"> These children require additional support to improve their readiness to learn and contribute effectively</w:t>
            </w:r>
            <w:r w:rsidR="004864E8">
              <w:rPr>
                <w:iCs/>
                <w:sz w:val="22"/>
                <w:szCs w:val="22"/>
              </w:rPr>
              <w:t>.</w:t>
            </w:r>
          </w:p>
          <w:p w14:paraId="6736CBC6" w14:textId="26BC1041" w:rsidR="00DA70F2" w:rsidRDefault="004864E8" w:rsidP="004864E8">
            <w:pPr>
              <w:pStyle w:val="TableRowCentered"/>
              <w:ind w:left="0"/>
              <w:jc w:val="left"/>
              <w:rPr>
                <w:iCs/>
                <w:sz w:val="22"/>
                <w:szCs w:val="22"/>
              </w:rPr>
            </w:pPr>
            <w:r>
              <w:rPr>
                <w:iCs/>
                <w:sz w:val="22"/>
                <w:szCs w:val="22"/>
              </w:rPr>
              <w:t xml:space="preserve"> </w:t>
            </w:r>
            <w:r w:rsidR="009C2105">
              <w:rPr>
                <w:iCs/>
                <w:sz w:val="22"/>
                <w:szCs w:val="22"/>
              </w:rPr>
              <w:t>80% of</w:t>
            </w:r>
            <w:r w:rsidR="00503C4D">
              <w:rPr>
                <w:iCs/>
                <w:sz w:val="22"/>
                <w:szCs w:val="22"/>
              </w:rPr>
              <w:t xml:space="preserve"> children </w:t>
            </w:r>
            <w:r w:rsidR="00E45387">
              <w:rPr>
                <w:iCs/>
                <w:sz w:val="22"/>
                <w:szCs w:val="22"/>
              </w:rPr>
              <w:t xml:space="preserve">in the school </w:t>
            </w:r>
            <w:r w:rsidR="00503C4D">
              <w:rPr>
                <w:iCs/>
                <w:sz w:val="22"/>
                <w:szCs w:val="22"/>
              </w:rPr>
              <w:t xml:space="preserve">with Mental Health referrals are </w:t>
            </w:r>
            <w:r w:rsidR="00E3233E">
              <w:rPr>
                <w:iCs/>
                <w:sz w:val="22"/>
                <w:szCs w:val="22"/>
              </w:rPr>
              <w:t xml:space="preserve">disadvantaged </w:t>
            </w:r>
            <w:proofErr w:type="gramStart"/>
            <w:r w:rsidR="00E3233E">
              <w:rPr>
                <w:iCs/>
                <w:sz w:val="22"/>
                <w:szCs w:val="22"/>
              </w:rPr>
              <w:t>children</w:t>
            </w:r>
            <w:proofErr w:type="gramEnd"/>
            <w:r w:rsidR="00E3233E">
              <w:rPr>
                <w:iCs/>
                <w:sz w:val="22"/>
                <w:szCs w:val="22"/>
              </w:rPr>
              <w:t xml:space="preserve"> </w:t>
            </w:r>
          </w:p>
          <w:p w14:paraId="25B2ECB5" w14:textId="2AC14C63" w:rsidR="00503C4D" w:rsidRPr="0081115D" w:rsidRDefault="00503C4D" w:rsidP="00F36269">
            <w:pPr>
              <w:pStyle w:val="TableRowCentered"/>
              <w:jc w:val="left"/>
              <w:rPr>
                <w:iCs/>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0A448C2" w:rsidR="00E66558" w:rsidRDefault="000167D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18388" w14:textId="07E1D7F1" w:rsidR="00F36269" w:rsidRDefault="00F36269" w:rsidP="007970AE">
            <w:pPr>
              <w:pStyle w:val="TableRowCentered"/>
              <w:jc w:val="left"/>
              <w:rPr>
                <w:iCs/>
                <w:sz w:val="22"/>
                <w:szCs w:val="22"/>
              </w:rPr>
            </w:pPr>
            <w:r>
              <w:rPr>
                <w:iCs/>
                <w:sz w:val="22"/>
                <w:szCs w:val="22"/>
              </w:rPr>
              <w:t>A</w:t>
            </w:r>
            <w:r w:rsidRPr="00F36269">
              <w:rPr>
                <w:iCs/>
                <w:sz w:val="22"/>
                <w:szCs w:val="22"/>
              </w:rPr>
              <w:t xml:space="preserve">ttendance data </w:t>
            </w:r>
            <w:r w:rsidR="004376AF">
              <w:rPr>
                <w:iCs/>
                <w:sz w:val="22"/>
                <w:szCs w:val="22"/>
              </w:rPr>
              <w:t>at the end of the 2022-23 academic year showed w</w:t>
            </w:r>
            <w:r w:rsidR="004376AF" w:rsidRPr="004376AF">
              <w:rPr>
                <w:iCs/>
                <w:sz w:val="22"/>
                <w:szCs w:val="22"/>
              </w:rPr>
              <w:t xml:space="preserve">hole School Pupil Premium chn’s attendance </w:t>
            </w:r>
            <w:r w:rsidR="004376AF">
              <w:rPr>
                <w:iCs/>
                <w:sz w:val="22"/>
                <w:szCs w:val="22"/>
              </w:rPr>
              <w:t>wa</w:t>
            </w:r>
            <w:r w:rsidR="004376AF" w:rsidRPr="004376AF">
              <w:rPr>
                <w:iCs/>
                <w:sz w:val="22"/>
                <w:szCs w:val="22"/>
              </w:rPr>
              <w:t xml:space="preserve">s lower that </w:t>
            </w:r>
            <w:proofErr w:type="gramStart"/>
            <w:r w:rsidR="004376AF" w:rsidRPr="004376AF">
              <w:rPr>
                <w:iCs/>
                <w:sz w:val="22"/>
                <w:szCs w:val="22"/>
              </w:rPr>
              <w:t>Non Pupil</w:t>
            </w:r>
            <w:proofErr w:type="gramEnd"/>
            <w:r w:rsidR="004376AF" w:rsidRPr="004376AF">
              <w:rPr>
                <w:iCs/>
                <w:sz w:val="22"/>
                <w:szCs w:val="22"/>
              </w:rPr>
              <w:t xml:space="preserve"> Premium chn by 4.4 %. This </w:t>
            </w:r>
            <w:r w:rsidR="004376AF">
              <w:rPr>
                <w:iCs/>
                <w:sz w:val="22"/>
                <w:szCs w:val="22"/>
              </w:rPr>
              <w:t>wa</w:t>
            </w:r>
            <w:r w:rsidR="004376AF" w:rsidRPr="004376AF">
              <w:rPr>
                <w:iCs/>
                <w:sz w:val="22"/>
                <w:szCs w:val="22"/>
              </w:rPr>
              <w:t>s a widening gap</w:t>
            </w:r>
            <w:r w:rsidR="004376AF">
              <w:rPr>
                <w:iCs/>
                <w:sz w:val="22"/>
                <w:szCs w:val="22"/>
              </w:rPr>
              <w:t>.</w:t>
            </w:r>
            <w:r w:rsidR="00D164B7">
              <w:rPr>
                <w:iCs/>
                <w:sz w:val="22"/>
                <w:szCs w:val="22"/>
              </w:rPr>
              <w:t xml:space="preserve"> </w:t>
            </w:r>
          </w:p>
          <w:p w14:paraId="2A7D54FA" w14:textId="50305C53" w:rsidR="00E66558" w:rsidRPr="0081115D" w:rsidRDefault="00F36269" w:rsidP="00F36269">
            <w:pPr>
              <w:pStyle w:val="TableRowCentered"/>
              <w:jc w:val="left"/>
              <w:rPr>
                <w:iCs/>
                <w:sz w:val="22"/>
                <w:szCs w:val="22"/>
              </w:rPr>
            </w:pPr>
            <w:r w:rsidRPr="00F36269">
              <w:rPr>
                <w:iCs/>
                <w:sz w:val="22"/>
                <w:szCs w:val="22"/>
              </w:rPr>
              <w:t xml:space="preserve">Our assessments and observations indicate that absenteeism is negatively impacting </w:t>
            </w:r>
            <w:r w:rsidR="007970AE">
              <w:rPr>
                <w:iCs/>
                <w:sz w:val="22"/>
                <w:szCs w:val="22"/>
              </w:rPr>
              <w:t xml:space="preserve">some </w:t>
            </w:r>
            <w:r w:rsidRPr="00F36269">
              <w:rPr>
                <w:iCs/>
                <w:sz w:val="22"/>
                <w:szCs w:val="22"/>
              </w:rPr>
              <w:t xml:space="preserve">disadvantaged pupils’ </w:t>
            </w:r>
            <w:r w:rsidR="007970AE">
              <w:rPr>
                <w:iCs/>
                <w:sz w:val="22"/>
                <w:szCs w:val="22"/>
              </w:rPr>
              <w:t>attainment and progress.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596D7EF9" w:rsidR="00E66558" w:rsidRDefault="000167D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4C4F" w14:textId="2A202766" w:rsidR="00DA70F2" w:rsidRDefault="00970F57" w:rsidP="00970F57">
            <w:pPr>
              <w:pStyle w:val="TableRowCentered"/>
              <w:jc w:val="left"/>
              <w:rPr>
                <w:iCs/>
                <w:sz w:val="22"/>
                <w:szCs w:val="22"/>
              </w:rPr>
            </w:pPr>
            <w:r w:rsidRPr="0081115D">
              <w:rPr>
                <w:iCs/>
                <w:sz w:val="22"/>
                <w:szCs w:val="22"/>
              </w:rPr>
              <w:t xml:space="preserve">Parental engagement </w:t>
            </w:r>
            <w:r w:rsidR="00E45387">
              <w:rPr>
                <w:iCs/>
                <w:sz w:val="22"/>
                <w:szCs w:val="22"/>
              </w:rPr>
              <w:t xml:space="preserve">in supporting children’s learning is </w:t>
            </w:r>
            <w:proofErr w:type="gramStart"/>
            <w:r w:rsidR="00E45387">
              <w:rPr>
                <w:iCs/>
                <w:sz w:val="22"/>
                <w:szCs w:val="22"/>
              </w:rPr>
              <w:t>low</w:t>
            </w:r>
            <w:proofErr w:type="gramEnd"/>
          </w:p>
          <w:p w14:paraId="2A7D54FD" w14:textId="19C1AEC0" w:rsidR="00E66558" w:rsidRPr="0081115D" w:rsidRDefault="00E66558" w:rsidP="000167D8">
            <w:pPr>
              <w:pStyle w:val="TableRowCentered"/>
              <w:ind w:left="0"/>
              <w:jc w:val="left"/>
              <w:rPr>
                <w:iCs/>
                <w:sz w:val="22"/>
                <w:szCs w:val="22"/>
              </w:rPr>
            </w:pPr>
          </w:p>
        </w:tc>
      </w:tr>
      <w:tr w:rsidR="00970F57" w14:paraId="586E048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1D9A" w14:textId="78F18E64" w:rsidR="00970F57" w:rsidRDefault="00A21845">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26A1F" w14:textId="358439C0" w:rsidR="00970F57" w:rsidRDefault="00A21845">
            <w:pPr>
              <w:pStyle w:val="TableRowCentered"/>
              <w:jc w:val="left"/>
              <w:rPr>
                <w:iCs/>
                <w:sz w:val="22"/>
              </w:rPr>
            </w:pPr>
            <w:r>
              <w:rPr>
                <w:iCs/>
                <w:sz w:val="22"/>
              </w:rPr>
              <w:t>Gaps that remain in learning from Covid</w:t>
            </w:r>
            <w:r w:rsidR="00E45387">
              <w:rPr>
                <w:iCs/>
                <w:sz w:val="22"/>
              </w:rPr>
              <w:t xml:space="preserve"> have impact on children reaching age-related expectations</w:t>
            </w:r>
          </w:p>
        </w:tc>
      </w:tr>
      <w:tr w:rsidR="00A21845" w14:paraId="3EB2A09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7E41C" w14:textId="65F09214" w:rsidR="00A21845" w:rsidRDefault="00A21845">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CFE8" w14:textId="2C6D520D" w:rsidR="00A21845" w:rsidRDefault="00A21845">
            <w:pPr>
              <w:pStyle w:val="TableRowCentered"/>
              <w:jc w:val="left"/>
              <w:rPr>
                <w:iCs/>
                <w:sz w:val="22"/>
              </w:rPr>
            </w:pPr>
            <w:r>
              <w:rPr>
                <w:iCs/>
                <w:sz w:val="22"/>
              </w:rPr>
              <w:t>Financial difficulty to support children’s wider opportunities</w:t>
            </w:r>
          </w:p>
        </w:tc>
      </w:tr>
    </w:tbl>
    <w:p w14:paraId="2A7D54FF" w14:textId="76EB51C8" w:rsidR="00E66558" w:rsidRDefault="009D71E8">
      <w:pPr>
        <w:pStyle w:val="Heading2"/>
        <w:spacing w:before="600"/>
      </w:pPr>
      <w:r>
        <w:t xml:space="preserve">Intended </w:t>
      </w:r>
      <w:proofErr w:type="gramStart"/>
      <w:r>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760"/>
        <w:gridCol w:w="6726"/>
      </w:tblGrid>
      <w:tr w:rsidR="00E66558" w14:paraId="2A7D5503" w14:textId="77777777" w:rsidTr="007970AE">
        <w:tc>
          <w:tcPr>
            <w:tcW w:w="28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9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B1601C" w14:paraId="40159A73" w14:textId="77777777" w:rsidTr="00A02001">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A06F" w14:textId="24490560" w:rsidR="00B1601C" w:rsidRDefault="00B1601C" w:rsidP="00B1601C">
            <w:pPr>
              <w:pStyle w:val="TableRow"/>
              <w:tabs>
                <w:tab w:val="left" w:pos="1065"/>
              </w:tabs>
            </w:pP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3B724" w14:textId="3EC3DB6A" w:rsidR="00106C68" w:rsidRPr="00A02001" w:rsidRDefault="00106C68" w:rsidP="00F93A77">
            <w:pPr>
              <w:pStyle w:val="TableRowCentered"/>
              <w:ind w:left="0"/>
              <w:jc w:val="left"/>
              <w:rPr>
                <w:sz w:val="22"/>
                <w:szCs w:val="22"/>
              </w:rPr>
            </w:pPr>
          </w:p>
        </w:tc>
      </w:tr>
      <w:tr w:rsidR="00E66558" w14:paraId="2A7D5506" w14:textId="77777777" w:rsidTr="004864E8">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67068DB" w:rsidR="00E66558" w:rsidRDefault="004864E8" w:rsidP="00B1601C">
            <w:pPr>
              <w:pStyle w:val="TableRow"/>
              <w:tabs>
                <w:tab w:val="left" w:pos="1065"/>
              </w:tabs>
            </w:pPr>
            <w:r>
              <w:t xml:space="preserve">To improve teaching and learning of phonics </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CC4E0B4" w:rsidR="00106C68" w:rsidRPr="00A02001" w:rsidRDefault="004864E8" w:rsidP="00B1601C">
            <w:pPr>
              <w:pStyle w:val="TableRowCentered"/>
              <w:ind w:left="0"/>
              <w:jc w:val="left"/>
              <w:rPr>
                <w:sz w:val="22"/>
                <w:szCs w:val="22"/>
              </w:rPr>
            </w:pPr>
            <w:r>
              <w:rPr>
                <w:sz w:val="22"/>
                <w:szCs w:val="22"/>
              </w:rPr>
              <w:t xml:space="preserve">Phonics outcomes are in line with national expectations and pupil progress is good from individual starting points. </w:t>
            </w:r>
            <w:r w:rsidR="00F55732">
              <w:rPr>
                <w:sz w:val="22"/>
                <w:szCs w:val="22"/>
              </w:rPr>
              <w:t>Disadvantaged children move closer to achieving the national expectations in the phonic screening check.</w:t>
            </w:r>
          </w:p>
        </w:tc>
      </w:tr>
      <w:tr w:rsidR="00E66558" w14:paraId="2A7D5509" w14:textId="77777777" w:rsidTr="007970AE">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1734E4F" w:rsidR="00E66558" w:rsidRDefault="008A6466">
            <w:pPr>
              <w:pStyle w:val="TableRow"/>
              <w:rPr>
                <w:sz w:val="22"/>
                <w:szCs w:val="22"/>
              </w:rPr>
            </w:pPr>
            <w:r>
              <w:rPr>
                <w:sz w:val="22"/>
                <w:szCs w:val="22"/>
              </w:rPr>
              <w:t xml:space="preserve">To improve pupil outcomes in </w:t>
            </w:r>
            <w:r w:rsidR="00106C68">
              <w:rPr>
                <w:sz w:val="22"/>
                <w:szCs w:val="22"/>
              </w:rPr>
              <w:t>reading</w:t>
            </w:r>
            <w:r w:rsidR="004864E8">
              <w:rPr>
                <w:sz w:val="22"/>
                <w:szCs w:val="22"/>
              </w:rPr>
              <w:t xml:space="preserve">, writing </w:t>
            </w:r>
            <w:r w:rsidR="00106C68">
              <w:rPr>
                <w:sz w:val="22"/>
                <w:szCs w:val="22"/>
              </w:rPr>
              <w:t>and maths</w:t>
            </w:r>
            <w:r>
              <w:rPr>
                <w:sz w:val="22"/>
                <w:szCs w:val="22"/>
              </w:rPr>
              <w:t xml:space="preserve"> across the school for all pupils</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1A87A" w14:textId="4461BD26" w:rsidR="00CF30E3" w:rsidRDefault="00CF30E3" w:rsidP="00A02001">
            <w:pPr>
              <w:pStyle w:val="TableRowCentered"/>
              <w:ind w:left="0"/>
              <w:jc w:val="left"/>
              <w:rPr>
                <w:sz w:val="22"/>
                <w:szCs w:val="22"/>
              </w:rPr>
            </w:pPr>
            <w:r>
              <w:rPr>
                <w:sz w:val="22"/>
                <w:szCs w:val="22"/>
              </w:rPr>
              <w:t>Attainment for children</w:t>
            </w:r>
            <w:r w:rsidR="00F55732">
              <w:rPr>
                <w:sz w:val="22"/>
                <w:szCs w:val="22"/>
              </w:rPr>
              <w:t xml:space="preserve"> across the school is in line with national averages at KS2 for reading, writing and maths and children make good progress from their starting points. </w:t>
            </w:r>
            <w:r w:rsidR="006D167A">
              <w:rPr>
                <w:sz w:val="22"/>
                <w:szCs w:val="22"/>
              </w:rPr>
              <w:t xml:space="preserve">Disadvantaged children </w:t>
            </w:r>
            <w:r w:rsidR="00A86D9E">
              <w:rPr>
                <w:sz w:val="22"/>
                <w:szCs w:val="22"/>
              </w:rPr>
              <w:t>move closer to achieving expected standards in line with national average</w:t>
            </w:r>
            <w:r w:rsidR="00190729">
              <w:rPr>
                <w:sz w:val="22"/>
                <w:szCs w:val="22"/>
              </w:rPr>
              <w:t>s</w:t>
            </w:r>
            <w:r w:rsidR="00A86D9E">
              <w:rPr>
                <w:sz w:val="22"/>
                <w:szCs w:val="22"/>
              </w:rPr>
              <w:t xml:space="preserve"> in reading, writing and maths.  Disadvantaged children in Reception move closer to national expectations for </w:t>
            </w:r>
            <w:proofErr w:type="gramStart"/>
            <w:r w:rsidR="00A86D9E">
              <w:rPr>
                <w:sz w:val="22"/>
                <w:szCs w:val="22"/>
              </w:rPr>
              <w:t>GLD</w:t>
            </w:r>
            <w:proofErr w:type="gramEnd"/>
          </w:p>
          <w:p w14:paraId="2A7D5508" w14:textId="1E87C65C" w:rsidR="00106C68" w:rsidRPr="00A02001" w:rsidRDefault="00106C68" w:rsidP="00B1601C">
            <w:pPr>
              <w:pStyle w:val="TableRowCentered"/>
              <w:ind w:left="0"/>
              <w:jc w:val="left"/>
              <w:rPr>
                <w:sz w:val="22"/>
                <w:szCs w:val="22"/>
              </w:rPr>
            </w:pPr>
          </w:p>
        </w:tc>
      </w:tr>
      <w:tr w:rsidR="00E66558" w14:paraId="2A7D550C" w14:textId="77777777" w:rsidTr="007970AE">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9B346B0" w:rsidR="00E66558" w:rsidRDefault="008A6466">
            <w:pPr>
              <w:pStyle w:val="TableRow"/>
              <w:rPr>
                <w:sz w:val="22"/>
                <w:szCs w:val="22"/>
              </w:rPr>
            </w:pPr>
            <w:r>
              <w:rPr>
                <w:sz w:val="22"/>
                <w:szCs w:val="22"/>
              </w:rPr>
              <w:t>To ensure all pupils develop SEMH awareness and skills to enable them to access learning in school effectively and efficiently.</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2668" w14:textId="54982225" w:rsidR="00E66558" w:rsidRPr="00A02001" w:rsidRDefault="00D17457" w:rsidP="00A02001">
            <w:pPr>
              <w:pStyle w:val="TableRowCentered"/>
              <w:jc w:val="left"/>
              <w:rPr>
                <w:sz w:val="22"/>
                <w:szCs w:val="22"/>
              </w:rPr>
            </w:pPr>
            <w:r w:rsidRPr="00A02001">
              <w:rPr>
                <w:sz w:val="22"/>
                <w:szCs w:val="22"/>
              </w:rPr>
              <w:t>Identified pupils</w:t>
            </w:r>
            <w:r w:rsidR="00595BAD" w:rsidRPr="00A02001">
              <w:rPr>
                <w:sz w:val="22"/>
                <w:szCs w:val="22"/>
              </w:rPr>
              <w:t xml:space="preserve"> receive high quality pastoral support that enables them to access high quality teaching and learning through developing good behaviour, </w:t>
            </w:r>
            <w:r w:rsidRPr="00A02001">
              <w:rPr>
                <w:sz w:val="22"/>
                <w:szCs w:val="22"/>
              </w:rPr>
              <w:t>self-</w:t>
            </w:r>
            <w:r w:rsidR="00595BAD" w:rsidRPr="00A02001">
              <w:rPr>
                <w:sz w:val="22"/>
                <w:szCs w:val="22"/>
              </w:rPr>
              <w:t xml:space="preserve">regulation and </w:t>
            </w:r>
            <w:r w:rsidRPr="00A02001">
              <w:rPr>
                <w:sz w:val="22"/>
                <w:szCs w:val="22"/>
              </w:rPr>
              <w:t xml:space="preserve">positive </w:t>
            </w:r>
            <w:r w:rsidR="00595BAD" w:rsidRPr="00A02001">
              <w:rPr>
                <w:sz w:val="22"/>
                <w:szCs w:val="22"/>
              </w:rPr>
              <w:t>attitudes to learning</w:t>
            </w:r>
          </w:p>
          <w:p w14:paraId="092C0C77" w14:textId="77777777" w:rsidR="00D17457" w:rsidRPr="00A02001" w:rsidRDefault="00D17457" w:rsidP="00A02001">
            <w:pPr>
              <w:pStyle w:val="TableRowCentered"/>
              <w:jc w:val="left"/>
              <w:rPr>
                <w:sz w:val="22"/>
                <w:szCs w:val="22"/>
              </w:rPr>
            </w:pPr>
            <w:r w:rsidRPr="00A02001">
              <w:rPr>
                <w:sz w:val="22"/>
                <w:szCs w:val="22"/>
              </w:rPr>
              <w:t>Improved well being and readiness to learn is evident for identified children through</w:t>
            </w:r>
          </w:p>
          <w:p w14:paraId="0D190F18" w14:textId="77777777" w:rsidR="00D17457" w:rsidRPr="00A02001" w:rsidRDefault="00D17457" w:rsidP="00A02001">
            <w:pPr>
              <w:pStyle w:val="TableRowCentered"/>
              <w:numPr>
                <w:ilvl w:val="0"/>
                <w:numId w:val="15"/>
              </w:numPr>
              <w:jc w:val="left"/>
              <w:rPr>
                <w:sz w:val="22"/>
                <w:szCs w:val="22"/>
              </w:rPr>
            </w:pPr>
            <w:r w:rsidRPr="00A02001">
              <w:rPr>
                <w:sz w:val="22"/>
                <w:szCs w:val="22"/>
              </w:rPr>
              <w:t>Improved attainment</w:t>
            </w:r>
          </w:p>
          <w:p w14:paraId="450FA9DD" w14:textId="77777777" w:rsidR="00D17457" w:rsidRPr="00A02001" w:rsidRDefault="00D17457" w:rsidP="00A02001">
            <w:pPr>
              <w:pStyle w:val="TableRowCentered"/>
              <w:numPr>
                <w:ilvl w:val="0"/>
                <w:numId w:val="15"/>
              </w:numPr>
              <w:jc w:val="left"/>
              <w:rPr>
                <w:sz w:val="22"/>
                <w:szCs w:val="22"/>
              </w:rPr>
            </w:pPr>
            <w:r w:rsidRPr="00A02001">
              <w:rPr>
                <w:sz w:val="22"/>
                <w:szCs w:val="22"/>
              </w:rPr>
              <w:t>Reduction in frequency of poor behaviour/ lack of regulation</w:t>
            </w:r>
          </w:p>
          <w:p w14:paraId="2A7D550B" w14:textId="4AFF3126" w:rsidR="00D17457" w:rsidRPr="00A02001" w:rsidRDefault="00D17457" w:rsidP="00A02001">
            <w:pPr>
              <w:pStyle w:val="TableRowCentered"/>
              <w:numPr>
                <w:ilvl w:val="0"/>
                <w:numId w:val="15"/>
              </w:numPr>
              <w:jc w:val="left"/>
              <w:rPr>
                <w:sz w:val="22"/>
                <w:szCs w:val="22"/>
              </w:rPr>
            </w:pPr>
            <w:r w:rsidRPr="00A02001">
              <w:rPr>
                <w:sz w:val="22"/>
                <w:szCs w:val="22"/>
              </w:rPr>
              <w:t>An increase in participation in enrichment activities for targeted pupils.</w:t>
            </w:r>
            <w:r w:rsidR="00B26FEB">
              <w:rPr>
                <w:sz w:val="22"/>
                <w:szCs w:val="22"/>
              </w:rPr>
              <w:t xml:space="preserve"> </w:t>
            </w:r>
          </w:p>
        </w:tc>
      </w:tr>
      <w:tr w:rsidR="00E66558" w14:paraId="2A7D550F" w14:textId="77777777" w:rsidTr="007970AE">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AA5918F" w:rsidR="00E66558" w:rsidRDefault="008A6466">
            <w:pPr>
              <w:pStyle w:val="TableRow"/>
              <w:rPr>
                <w:sz w:val="22"/>
                <w:szCs w:val="22"/>
              </w:rPr>
            </w:pPr>
            <w:r>
              <w:rPr>
                <w:sz w:val="22"/>
                <w:szCs w:val="22"/>
              </w:rPr>
              <w:t xml:space="preserve">To improve attendance for all pupils with a particular focus on improving attendance of vulnerable groups </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9C43" w14:textId="4E12F723" w:rsidR="00E66558" w:rsidRPr="00A02001" w:rsidRDefault="00595BAD" w:rsidP="00A02001">
            <w:pPr>
              <w:pStyle w:val="TableRowCentered"/>
              <w:jc w:val="left"/>
              <w:rPr>
                <w:rFonts w:cs="Arial"/>
                <w:sz w:val="22"/>
                <w:szCs w:val="22"/>
              </w:rPr>
            </w:pPr>
            <w:r w:rsidRPr="00A02001">
              <w:rPr>
                <w:rFonts w:cs="Arial"/>
                <w:sz w:val="22"/>
                <w:szCs w:val="22"/>
              </w:rPr>
              <w:t xml:space="preserve">Pupil attendance is good and </w:t>
            </w:r>
            <w:r w:rsidR="00FB3BB4">
              <w:rPr>
                <w:rFonts w:cs="Arial"/>
                <w:sz w:val="22"/>
                <w:szCs w:val="22"/>
              </w:rPr>
              <w:t xml:space="preserve">disadvantaged children’s attendance </w:t>
            </w:r>
            <w:r w:rsidRPr="00A02001">
              <w:rPr>
                <w:rFonts w:cs="Arial"/>
                <w:sz w:val="22"/>
                <w:szCs w:val="22"/>
              </w:rPr>
              <w:t>is improving.</w:t>
            </w:r>
          </w:p>
          <w:p w14:paraId="2A7D550E" w14:textId="1EDD25EB" w:rsidR="00D17457" w:rsidRPr="00FB3BB4" w:rsidRDefault="00D17457" w:rsidP="00FB3BB4">
            <w:pPr>
              <w:pStyle w:val="TableRowCentered"/>
              <w:numPr>
                <w:ilvl w:val="0"/>
                <w:numId w:val="18"/>
              </w:numPr>
              <w:jc w:val="left"/>
              <w:rPr>
                <w:rFonts w:cs="Arial"/>
                <w:color w:val="auto"/>
                <w:sz w:val="22"/>
                <w:szCs w:val="22"/>
              </w:rPr>
            </w:pPr>
            <w:r w:rsidRPr="00A02001">
              <w:rPr>
                <w:rFonts w:cs="Arial"/>
                <w:color w:val="auto"/>
                <w:sz w:val="22"/>
                <w:szCs w:val="22"/>
              </w:rPr>
              <w:t xml:space="preserve">the overall absence rate for all pupils being no more than 4%, and the attendance gap between disadvantaged pupils and their non-disadvantaged peers </w:t>
            </w:r>
            <w:r w:rsidR="00FB3BB4">
              <w:rPr>
                <w:rFonts w:cs="Arial"/>
                <w:color w:val="auto"/>
                <w:sz w:val="22"/>
                <w:szCs w:val="22"/>
              </w:rPr>
              <w:t>diminishing</w:t>
            </w:r>
          </w:p>
        </w:tc>
      </w:tr>
      <w:tr w:rsidR="008A6466" w14:paraId="702F9A5B" w14:textId="77777777" w:rsidTr="007970AE">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E30BC" w14:textId="2CCC2F70" w:rsidR="008A6466" w:rsidRDefault="008A6466">
            <w:pPr>
              <w:pStyle w:val="TableRow"/>
              <w:rPr>
                <w:sz w:val="22"/>
                <w:szCs w:val="22"/>
              </w:rPr>
            </w:pPr>
            <w:r>
              <w:rPr>
                <w:sz w:val="22"/>
                <w:szCs w:val="22"/>
              </w:rPr>
              <w:t>To improve family engagement with school and forge strong partnerships that enable all pupils to achieve their best in all aspects of school life.</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BEA4" w14:textId="2E2C9C35" w:rsidR="00D17457" w:rsidRPr="00A02001" w:rsidRDefault="003410B2" w:rsidP="00A02001">
            <w:pPr>
              <w:pStyle w:val="TableRowCentered"/>
              <w:jc w:val="left"/>
              <w:rPr>
                <w:sz w:val="22"/>
                <w:szCs w:val="22"/>
              </w:rPr>
            </w:pPr>
            <w:r w:rsidRPr="00A02001">
              <w:rPr>
                <w:sz w:val="22"/>
                <w:szCs w:val="22"/>
              </w:rPr>
              <w:t>Family engagement with school related to children’s learning, behaviour and progress is good</w:t>
            </w:r>
            <w:r w:rsidR="009C2105">
              <w:rPr>
                <w:sz w:val="22"/>
                <w:szCs w:val="22"/>
              </w:rPr>
              <w:t xml:space="preserve"> with</w:t>
            </w:r>
            <w:r w:rsidR="00D17457" w:rsidRPr="00A02001">
              <w:rPr>
                <w:sz w:val="22"/>
                <w:szCs w:val="22"/>
              </w:rPr>
              <w:t>100% engagement in parent night consultations.</w:t>
            </w:r>
          </w:p>
          <w:p w14:paraId="70405CA8" w14:textId="6C754F4F" w:rsidR="008A6466" w:rsidRDefault="003410B2">
            <w:pPr>
              <w:pStyle w:val="TableRowCentered"/>
              <w:jc w:val="left"/>
              <w:rPr>
                <w:sz w:val="22"/>
                <w:szCs w:val="22"/>
              </w:rPr>
            </w:pPr>
            <w:r w:rsidRPr="00A02001">
              <w:rPr>
                <w:sz w:val="22"/>
                <w:szCs w:val="22"/>
              </w:rPr>
              <w:t>The proportion of parents able to actively support pupils at home increases</w:t>
            </w:r>
            <w:r w:rsidR="00D17457" w:rsidRPr="00A02001">
              <w:rPr>
                <w:sz w:val="22"/>
                <w:szCs w:val="22"/>
              </w:rPr>
              <w:t xml:space="preserve"> due to the offer </w:t>
            </w:r>
            <w:r w:rsidR="00A86D9E">
              <w:rPr>
                <w:sz w:val="22"/>
                <w:szCs w:val="22"/>
              </w:rPr>
              <w:t xml:space="preserve">family learning opportunities in school </w:t>
            </w:r>
            <w:proofErr w:type="spellStart"/>
            <w:r w:rsidR="00A86D9E">
              <w:rPr>
                <w:sz w:val="22"/>
                <w:szCs w:val="22"/>
              </w:rPr>
              <w:t>eg.</w:t>
            </w:r>
            <w:proofErr w:type="spellEnd"/>
            <w:r w:rsidR="00A86D9E">
              <w:rPr>
                <w:sz w:val="22"/>
                <w:szCs w:val="22"/>
              </w:rPr>
              <w:t xml:space="preserve"> Workshops for curriculum areas, access to phonic portal</w:t>
            </w:r>
            <w:r w:rsidR="009C2105">
              <w:rPr>
                <w:sz w:val="22"/>
                <w:szCs w:val="22"/>
              </w:rPr>
              <w:t>, high quality home reading systems and books</w:t>
            </w:r>
          </w:p>
        </w:tc>
      </w:tr>
      <w:tr w:rsidR="00A86D9E" w14:paraId="2F1E0FB0" w14:textId="77777777" w:rsidTr="007970AE">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3C3F" w14:textId="54FD19D1" w:rsidR="00A86D9E" w:rsidRDefault="00A86D9E">
            <w:pPr>
              <w:pStyle w:val="TableRow"/>
              <w:rPr>
                <w:sz w:val="22"/>
                <w:szCs w:val="22"/>
              </w:rPr>
            </w:pPr>
            <w:r>
              <w:rPr>
                <w:sz w:val="22"/>
                <w:szCs w:val="22"/>
              </w:rPr>
              <w:t xml:space="preserve">To address gaps that remain from Covid to enable all children </w:t>
            </w:r>
            <w:r w:rsidR="00190729">
              <w:rPr>
                <w:sz w:val="22"/>
                <w:szCs w:val="22"/>
              </w:rPr>
              <w:t>to achieve their best</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C2903" w14:textId="6B707F1C" w:rsidR="00A86D9E" w:rsidRPr="00A02001" w:rsidRDefault="00190729" w:rsidP="00A02001">
            <w:pPr>
              <w:pStyle w:val="TableRowCentered"/>
              <w:jc w:val="left"/>
              <w:rPr>
                <w:sz w:val="22"/>
                <w:szCs w:val="22"/>
              </w:rPr>
            </w:pPr>
            <w:r>
              <w:rPr>
                <w:sz w:val="22"/>
                <w:szCs w:val="22"/>
              </w:rPr>
              <w:t>Gaps in learning are identified and addressed through assessment and by targeted interventions so that all pupils can reach their full potential demonstrated by</w:t>
            </w:r>
            <w:r w:rsidR="00C66731">
              <w:rPr>
                <w:sz w:val="22"/>
                <w:szCs w:val="22"/>
              </w:rPr>
              <w:t xml:space="preserve"> all children, including disadvantaged</w:t>
            </w:r>
            <w:r w:rsidR="009C2105">
              <w:rPr>
                <w:sz w:val="22"/>
                <w:szCs w:val="22"/>
              </w:rPr>
              <w:t>,</w:t>
            </w:r>
            <w:r w:rsidR="00C66731">
              <w:rPr>
                <w:sz w:val="22"/>
                <w:szCs w:val="22"/>
              </w:rPr>
              <w:t xml:space="preserve"> to move closer to national averages in reading, writing and maths.</w:t>
            </w:r>
          </w:p>
        </w:tc>
      </w:tr>
      <w:tr w:rsidR="00190729" w14:paraId="1F7A9786" w14:textId="77777777" w:rsidTr="007970AE">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E0C51" w14:textId="6C2FF391" w:rsidR="00190729" w:rsidRDefault="004F30FF">
            <w:pPr>
              <w:pStyle w:val="TableRow"/>
              <w:rPr>
                <w:sz w:val="22"/>
                <w:szCs w:val="22"/>
              </w:rPr>
            </w:pPr>
            <w:r>
              <w:rPr>
                <w:sz w:val="22"/>
                <w:szCs w:val="22"/>
              </w:rPr>
              <w:t>Disadvantaged children to be supported financially with trips and visits to ensure that they are exposed to culturally rich opportunities and have equal access to enrichment within the curriculum</w:t>
            </w:r>
          </w:p>
        </w:tc>
        <w:tc>
          <w:tcPr>
            <w:tcW w:w="6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341B" w14:textId="75782023" w:rsidR="00190729" w:rsidRDefault="004F30FF" w:rsidP="00A02001">
            <w:pPr>
              <w:pStyle w:val="TableRowCentered"/>
              <w:jc w:val="left"/>
              <w:rPr>
                <w:sz w:val="22"/>
                <w:szCs w:val="22"/>
              </w:rPr>
            </w:pPr>
            <w:r>
              <w:rPr>
                <w:sz w:val="22"/>
                <w:szCs w:val="22"/>
              </w:rPr>
              <w:t>All children, including disadvantaged, to have wider opportunities that deepen the</w:t>
            </w:r>
            <w:r w:rsidR="009C2105">
              <w:rPr>
                <w:sz w:val="22"/>
                <w:szCs w:val="22"/>
              </w:rPr>
              <w:t>ir</w:t>
            </w:r>
            <w:r>
              <w:rPr>
                <w:sz w:val="22"/>
                <w:szCs w:val="22"/>
              </w:rPr>
              <w:t xml:space="preserve"> cultural capital </w:t>
            </w:r>
            <w:r w:rsidR="009C2105">
              <w:rPr>
                <w:sz w:val="22"/>
                <w:szCs w:val="22"/>
              </w:rPr>
              <w:t xml:space="preserve">through </w:t>
            </w:r>
            <w:r>
              <w:rPr>
                <w:sz w:val="22"/>
                <w:szCs w:val="22"/>
              </w:rPr>
              <w:t>curriculum enrichment, including attendance at clubs, visits, trips</w:t>
            </w:r>
            <w:r w:rsidR="009C2105">
              <w:rPr>
                <w:sz w:val="22"/>
                <w:szCs w:val="22"/>
              </w:rPr>
              <w:t xml:space="preserve"> and through a knowledge rich curriculum</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5F9D9701" w14:textId="73B04305" w:rsidR="00EF6F8A" w:rsidRDefault="009D71E8">
      <w:r>
        <w:t>Budgeted cost:</w:t>
      </w:r>
      <w:r w:rsidR="001D3162">
        <w:t xml:space="preserve"> Academic year 202</w:t>
      </w:r>
      <w:r w:rsidR="00E15D08">
        <w:t>3</w:t>
      </w:r>
      <w:r w:rsidR="001D3162">
        <w:t>-202</w:t>
      </w:r>
      <w:r w:rsidR="00E15D08">
        <w:t>4</w:t>
      </w:r>
      <w:r w:rsidR="001D3162">
        <w:t>=</w:t>
      </w:r>
      <w:r>
        <w:t xml:space="preserve"> </w:t>
      </w:r>
      <w:r w:rsidR="009B6B81">
        <w:t>£23747</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9723A" w14:paraId="4A7EEB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0EE5" w14:textId="0B0D9891" w:rsidR="00532153" w:rsidRDefault="00C9723A">
            <w:pPr>
              <w:pStyle w:val="TableRow"/>
              <w:rPr>
                <w:sz w:val="22"/>
                <w:szCs w:val="22"/>
              </w:rPr>
            </w:pPr>
            <w:r w:rsidRPr="00532153">
              <w:rPr>
                <w:sz w:val="22"/>
                <w:szCs w:val="22"/>
              </w:rPr>
              <w:t xml:space="preserve">To </w:t>
            </w:r>
            <w:r w:rsidR="00532153">
              <w:rPr>
                <w:sz w:val="22"/>
                <w:szCs w:val="22"/>
              </w:rPr>
              <w:t xml:space="preserve">develop the use of </w:t>
            </w:r>
            <w:proofErr w:type="spellStart"/>
            <w:r w:rsidR="00532153">
              <w:rPr>
                <w:sz w:val="22"/>
                <w:szCs w:val="22"/>
              </w:rPr>
              <w:t>Wellcomm</w:t>
            </w:r>
            <w:proofErr w:type="spellEnd"/>
            <w:r w:rsidR="00532153">
              <w:rPr>
                <w:sz w:val="22"/>
                <w:szCs w:val="22"/>
              </w:rPr>
              <w:t xml:space="preserve"> across </w:t>
            </w:r>
            <w:r w:rsidR="004F30FF">
              <w:rPr>
                <w:sz w:val="22"/>
                <w:szCs w:val="22"/>
              </w:rPr>
              <w:t>the school</w:t>
            </w:r>
            <w:r w:rsidR="00F8085E">
              <w:rPr>
                <w:sz w:val="22"/>
                <w:szCs w:val="22"/>
              </w:rPr>
              <w:t xml:space="preserve"> to improve Speech, Language and Communication. </w:t>
            </w:r>
          </w:p>
          <w:p w14:paraId="05573DD4" w14:textId="77777777" w:rsidR="000944CB" w:rsidRDefault="000944CB">
            <w:pPr>
              <w:pStyle w:val="TableRow"/>
              <w:rPr>
                <w:sz w:val="22"/>
                <w:szCs w:val="22"/>
              </w:rPr>
            </w:pPr>
          </w:p>
          <w:p w14:paraId="30E42D58" w14:textId="0A5F4AA0" w:rsidR="000944CB" w:rsidRPr="00C66731" w:rsidRDefault="000944CB">
            <w:pPr>
              <w:pStyle w:val="TableRow"/>
              <w:rPr>
                <w:i/>
                <w:iCs/>
                <w:sz w:val="20"/>
                <w:szCs w:val="20"/>
              </w:rPr>
            </w:pPr>
            <w:r w:rsidRPr="00C66731">
              <w:rPr>
                <w:i/>
                <w:iCs/>
                <w:sz w:val="20"/>
                <w:szCs w:val="20"/>
              </w:rPr>
              <w:t>£7582 (1/4 of TAs salary</w:t>
            </w:r>
            <w:r w:rsidR="002E7557" w:rsidRPr="00C66731">
              <w:rPr>
                <w:i/>
                <w:iCs/>
                <w:sz w:val="20"/>
                <w:szCs w:val="20"/>
              </w:rPr>
              <w:t xml:space="preserve"> including on costs</w:t>
            </w:r>
            <w:r w:rsidRPr="00C66731">
              <w:rPr>
                <w:i/>
                <w:iCs/>
                <w:sz w:val="20"/>
                <w:szCs w:val="20"/>
              </w:rPr>
              <w:t xml:space="preserve"> reflective of Time spent on Speech and Language support)</w:t>
            </w:r>
          </w:p>
          <w:p w14:paraId="48468FCD" w14:textId="77777777" w:rsidR="00BD1B7A" w:rsidRDefault="00BD1B7A">
            <w:pPr>
              <w:pStyle w:val="TableRow"/>
              <w:rPr>
                <w:sz w:val="22"/>
                <w:szCs w:val="22"/>
              </w:rPr>
            </w:pPr>
          </w:p>
          <w:p w14:paraId="243F2BF5" w14:textId="015F0ACA" w:rsidR="00532153" w:rsidRPr="00532153" w:rsidRDefault="00532153">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3F2C" w14:textId="77777777" w:rsidR="00416856" w:rsidRDefault="00416856" w:rsidP="00416856">
            <w:pPr>
              <w:pStyle w:val="TableRowCentered"/>
              <w:jc w:val="left"/>
              <w:rPr>
                <w:sz w:val="22"/>
              </w:rPr>
            </w:pPr>
            <w:r w:rsidRPr="00D95499">
              <w:rPr>
                <w:sz w:val="22"/>
              </w:rPr>
              <w:t>Oral language interventions can have a positive impact on pupils’ language skills. Approaches that focus on speaking, listening and a combination of the two show positive impacts on attainment</w:t>
            </w:r>
            <w:r>
              <w:rPr>
                <w:sz w:val="22"/>
              </w:rPr>
              <w:t>.</w:t>
            </w:r>
          </w:p>
          <w:p w14:paraId="1FB6289E" w14:textId="77777777" w:rsidR="00416856" w:rsidRDefault="00416856" w:rsidP="00416856">
            <w:pPr>
              <w:pStyle w:val="TableRowCentered"/>
              <w:jc w:val="left"/>
              <w:rPr>
                <w:sz w:val="22"/>
              </w:rPr>
            </w:pPr>
            <w:r>
              <w:rPr>
                <w:sz w:val="22"/>
              </w:rPr>
              <w:t>EEF Toolkit- Oral Language interventions (+6)</w:t>
            </w:r>
          </w:p>
          <w:p w14:paraId="2A4100A1" w14:textId="77777777" w:rsidR="00416856" w:rsidRDefault="00416856" w:rsidP="00416856">
            <w:pPr>
              <w:pStyle w:val="TableRowCentered"/>
              <w:jc w:val="left"/>
              <w:rPr>
                <w:sz w:val="22"/>
              </w:rPr>
            </w:pPr>
            <w:r>
              <w:rPr>
                <w:sz w:val="22"/>
              </w:rPr>
              <w:t>EEF Toolkit- Teaching Assistant interventions (+4)</w:t>
            </w:r>
          </w:p>
          <w:p w14:paraId="268612EC" w14:textId="31CDA953" w:rsidR="008A6466" w:rsidRPr="00C66731" w:rsidRDefault="00416856" w:rsidP="00C66731">
            <w:pPr>
              <w:pStyle w:val="TableRowCentered"/>
              <w:jc w:val="left"/>
              <w:rPr>
                <w:sz w:val="22"/>
              </w:rPr>
            </w:pPr>
            <w:r w:rsidRPr="00CC7920">
              <w:rPr>
                <w:sz w:val="22"/>
              </w:rPr>
              <w:t>EEF Toolkit- Small group tuition (+4)</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0B511" w14:textId="1882A241" w:rsidR="00C9723A" w:rsidRPr="00532153" w:rsidRDefault="000944CB">
            <w:pPr>
              <w:pStyle w:val="TableRowCentered"/>
              <w:jc w:val="left"/>
              <w:rPr>
                <w:sz w:val="22"/>
                <w:szCs w:val="22"/>
              </w:rPr>
            </w:pPr>
            <w:r>
              <w:rPr>
                <w:sz w:val="22"/>
                <w:szCs w:val="22"/>
              </w:rPr>
              <w:t>2</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225AF" w14:textId="3A560E4F" w:rsidR="00E66558" w:rsidRDefault="004355CA">
            <w:pPr>
              <w:pStyle w:val="TableRow"/>
              <w:rPr>
                <w:sz w:val="22"/>
                <w:szCs w:val="22"/>
              </w:rPr>
            </w:pPr>
            <w:r w:rsidRPr="00532153">
              <w:rPr>
                <w:sz w:val="22"/>
                <w:szCs w:val="22"/>
              </w:rPr>
              <w:t>Ensure high quality teaching and learning of early reading and phonics</w:t>
            </w:r>
            <w:r w:rsidR="00820013">
              <w:rPr>
                <w:sz w:val="22"/>
                <w:szCs w:val="22"/>
              </w:rPr>
              <w:t xml:space="preserve"> through the implementation of Read, Write Inc</w:t>
            </w:r>
            <w:r w:rsidR="00F8085E">
              <w:rPr>
                <w:sz w:val="22"/>
                <w:szCs w:val="22"/>
              </w:rPr>
              <w:t xml:space="preserve"> </w:t>
            </w:r>
          </w:p>
          <w:p w14:paraId="4C9A6661" w14:textId="77777777" w:rsidR="00E45387" w:rsidRDefault="00E45387">
            <w:pPr>
              <w:pStyle w:val="TableRow"/>
              <w:rPr>
                <w:sz w:val="22"/>
                <w:szCs w:val="22"/>
              </w:rPr>
            </w:pPr>
          </w:p>
          <w:p w14:paraId="2A7D551A" w14:textId="560241F1" w:rsidR="00D95499" w:rsidRPr="00B41210" w:rsidRDefault="00B41210" w:rsidP="00B41210">
            <w:pPr>
              <w:pStyle w:val="TableRow"/>
              <w:rPr>
                <w:i/>
                <w:iCs/>
                <w:sz w:val="20"/>
                <w:szCs w:val="20"/>
              </w:rPr>
            </w:pPr>
            <w:r w:rsidRPr="00B41210">
              <w:rPr>
                <w:i/>
                <w:iCs/>
                <w:sz w:val="20"/>
                <w:szCs w:val="20"/>
              </w:rPr>
              <w:t xml:space="preserve">£9070 </w:t>
            </w:r>
            <w:r w:rsidR="002E7557">
              <w:rPr>
                <w:i/>
                <w:iCs/>
                <w:sz w:val="20"/>
                <w:szCs w:val="20"/>
              </w:rPr>
              <w:t>teaching resources, reading books</w:t>
            </w:r>
            <w:r w:rsidRPr="00B41210">
              <w:rPr>
                <w:i/>
                <w:iCs/>
                <w:sz w:val="20"/>
                <w:szCs w:val="20"/>
              </w:rPr>
              <w:t xml:space="preserve"> and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8FFB" w14:textId="140383C8" w:rsidR="00532153" w:rsidRPr="00E27862" w:rsidRDefault="00532153" w:rsidP="00532153">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particularly for disadvantaged pupils: </w:t>
            </w:r>
          </w:p>
          <w:p w14:paraId="5D39A280" w14:textId="77777777" w:rsidR="00E66558" w:rsidRDefault="008A6466">
            <w:pPr>
              <w:pStyle w:val="TableRowCentered"/>
              <w:jc w:val="left"/>
              <w:rPr>
                <w:sz w:val="22"/>
                <w:szCs w:val="22"/>
              </w:rPr>
            </w:pPr>
            <w:r w:rsidRPr="00532153">
              <w:rPr>
                <w:sz w:val="22"/>
                <w:szCs w:val="22"/>
              </w:rPr>
              <w:t>EEF Toolkit-Phonics (+5)</w:t>
            </w:r>
          </w:p>
          <w:p w14:paraId="2A7D551B" w14:textId="389CB4CF" w:rsidR="004F30FF" w:rsidRPr="00532153" w:rsidRDefault="004F30FF">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B2F9087" w:rsidR="00E66558" w:rsidRPr="00532153" w:rsidRDefault="000944CB">
            <w:pPr>
              <w:pStyle w:val="TableRowCentered"/>
              <w:jc w:val="left"/>
              <w:rPr>
                <w:sz w:val="22"/>
                <w:szCs w:val="22"/>
              </w:rPr>
            </w:pPr>
            <w:r>
              <w:rPr>
                <w:sz w:val="22"/>
                <w:szCs w:val="22"/>
              </w:rPr>
              <w:t>1   6</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9455A" w14:textId="74EE5463" w:rsidR="00E66558" w:rsidRDefault="004355CA">
            <w:pPr>
              <w:pStyle w:val="TableRow"/>
              <w:rPr>
                <w:sz w:val="22"/>
                <w:szCs w:val="22"/>
              </w:rPr>
            </w:pPr>
            <w:r w:rsidRPr="00532153">
              <w:rPr>
                <w:sz w:val="22"/>
                <w:szCs w:val="22"/>
              </w:rPr>
              <w:t>To ensure maths mastery is embedded</w:t>
            </w:r>
            <w:r w:rsidR="00532153">
              <w:rPr>
                <w:sz w:val="22"/>
                <w:szCs w:val="22"/>
              </w:rPr>
              <w:t xml:space="preserve"> in line with DFE and Maths Hub guidance in effective use of </w:t>
            </w:r>
            <w:r w:rsidR="00B26FEB">
              <w:rPr>
                <w:sz w:val="22"/>
                <w:szCs w:val="22"/>
              </w:rPr>
              <w:t xml:space="preserve">Power Maths </w:t>
            </w:r>
            <w:r w:rsidR="00532153">
              <w:rPr>
                <w:sz w:val="22"/>
                <w:szCs w:val="22"/>
              </w:rPr>
              <w:t>through providing</w:t>
            </w:r>
            <w:r w:rsidR="00532153" w:rsidRPr="00532153">
              <w:rPr>
                <w:sz w:val="22"/>
                <w:szCs w:val="22"/>
              </w:rPr>
              <w:t xml:space="preserve"> CPD </w:t>
            </w:r>
            <w:r w:rsidR="00AF09B0">
              <w:rPr>
                <w:sz w:val="22"/>
                <w:szCs w:val="22"/>
              </w:rPr>
              <w:t xml:space="preserve">and teacher </w:t>
            </w:r>
            <w:proofErr w:type="gramStart"/>
            <w:r w:rsidR="00AF09B0">
              <w:rPr>
                <w:sz w:val="22"/>
                <w:szCs w:val="22"/>
              </w:rPr>
              <w:t>collaboration</w:t>
            </w:r>
            <w:proofErr w:type="gramEnd"/>
          </w:p>
          <w:p w14:paraId="1E4F0508" w14:textId="77777777" w:rsidR="00D95499" w:rsidRPr="009B6B81" w:rsidRDefault="00D95499">
            <w:pPr>
              <w:pStyle w:val="TableRow"/>
              <w:rPr>
                <w:sz w:val="20"/>
                <w:szCs w:val="20"/>
              </w:rPr>
            </w:pPr>
          </w:p>
          <w:p w14:paraId="2A7D551E" w14:textId="30F44E74" w:rsidR="006904CC" w:rsidRPr="00C66731" w:rsidRDefault="00296C21">
            <w:pPr>
              <w:pStyle w:val="TableRow"/>
              <w:rPr>
                <w:i/>
                <w:iCs/>
                <w:sz w:val="22"/>
                <w:szCs w:val="22"/>
              </w:rPr>
            </w:pPr>
            <w:r w:rsidRPr="00C66731">
              <w:rPr>
                <w:i/>
                <w:iCs/>
                <w:sz w:val="20"/>
                <w:szCs w:val="20"/>
              </w:rPr>
              <w:t xml:space="preserve">Power Maths ongoing costs </w:t>
            </w:r>
            <w:r w:rsidR="009B6B81" w:rsidRPr="00C66731">
              <w:rPr>
                <w:i/>
                <w:iCs/>
                <w:sz w:val="20"/>
                <w:szCs w:val="20"/>
              </w:rPr>
              <w:t>online subscription and books £1500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D0914" w14:textId="77777777" w:rsidR="00532153" w:rsidRDefault="00532153">
            <w:pPr>
              <w:pStyle w:val="TableRowCentered"/>
              <w:jc w:val="left"/>
              <w:rPr>
                <w:sz w:val="22"/>
                <w:szCs w:val="22"/>
              </w:rPr>
            </w:pPr>
            <w:r w:rsidRPr="00532153">
              <w:rPr>
                <w:sz w:val="22"/>
                <w:szCs w:val="22"/>
              </w:rPr>
              <w:t xml:space="preserve">The DfE non-statutory guidance has been produced in conjunction with the National Centre for Excellence in the Teaching of Mathematics, drawing on evidence-based approaches: </w:t>
            </w:r>
          </w:p>
          <w:p w14:paraId="2D6C080F" w14:textId="63A9B621" w:rsidR="00E66558" w:rsidRPr="00532153" w:rsidRDefault="00595BAD">
            <w:pPr>
              <w:pStyle w:val="TableRowCentered"/>
              <w:jc w:val="left"/>
              <w:rPr>
                <w:sz w:val="22"/>
                <w:szCs w:val="22"/>
              </w:rPr>
            </w:pPr>
            <w:r w:rsidRPr="00532153">
              <w:rPr>
                <w:sz w:val="22"/>
                <w:szCs w:val="22"/>
              </w:rPr>
              <w:t>EEF Toolkit- Mastery learning (+5)</w:t>
            </w:r>
          </w:p>
          <w:p w14:paraId="2A7D551F" w14:textId="686A2E35" w:rsidR="003410B2" w:rsidRPr="00532153" w:rsidRDefault="003410B2">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4BEA3C3" w:rsidR="00E66558" w:rsidRPr="00532153" w:rsidRDefault="002E7557">
            <w:pPr>
              <w:pStyle w:val="TableRowCentered"/>
              <w:jc w:val="left"/>
              <w:rPr>
                <w:sz w:val="22"/>
                <w:szCs w:val="22"/>
              </w:rPr>
            </w:pPr>
            <w:r>
              <w:rPr>
                <w:sz w:val="22"/>
                <w:szCs w:val="22"/>
              </w:rPr>
              <w:t>1</w:t>
            </w:r>
          </w:p>
        </w:tc>
      </w:tr>
      <w:tr w:rsidR="004355CA" w14:paraId="4576120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E7218" w14:textId="27EB3038" w:rsidR="004355CA" w:rsidRDefault="00595BAD">
            <w:pPr>
              <w:pStyle w:val="TableRow"/>
              <w:rPr>
                <w:sz w:val="22"/>
                <w:szCs w:val="22"/>
              </w:rPr>
            </w:pPr>
            <w:r w:rsidRPr="00532153">
              <w:rPr>
                <w:sz w:val="22"/>
                <w:szCs w:val="22"/>
              </w:rPr>
              <w:t xml:space="preserve">To improve </w:t>
            </w:r>
            <w:r w:rsidR="00F8085E">
              <w:rPr>
                <w:sz w:val="22"/>
                <w:szCs w:val="22"/>
              </w:rPr>
              <w:t xml:space="preserve">reading comprehension and writing across the school with the implementation of Literacy Tree </w:t>
            </w:r>
          </w:p>
          <w:p w14:paraId="3BC8D66E" w14:textId="77777777" w:rsidR="00B2325B" w:rsidRDefault="00B2325B">
            <w:pPr>
              <w:pStyle w:val="TableRow"/>
              <w:rPr>
                <w:sz w:val="22"/>
                <w:szCs w:val="22"/>
              </w:rPr>
            </w:pPr>
          </w:p>
          <w:p w14:paraId="249A3074" w14:textId="47383FA7" w:rsidR="00B2325B" w:rsidRPr="00C66731" w:rsidRDefault="00B2325B" w:rsidP="00B2325B">
            <w:pPr>
              <w:spacing w:after="0" w:line="240" w:lineRule="auto"/>
              <w:rPr>
                <w:rFonts w:cs="Calibri"/>
                <w:i/>
                <w:iCs/>
                <w:sz w:val="20"/>
                <w:szCs w:val="20"/>
              </w:rPr>
            </w:pPr>
            <w:r w:rsidRPr="00C66731">
              <w:rPr>
                <w:rFonts w:cs="Calibri"/>
                <w:i/>
                <w:iCs/>
                <w:sz w:val="20"/>
                <w:szCs w:val="20"/>
              </w:rPr>
              <w:t>£3000 LTC consultancy</w:t>
            </w:r>
          </w:p>
          <w:p w14:paraId="4A41A17D" w14:textId="298E78CF" w:rsidR="00B2325B" w:rsidRPr="00C66731" w:rsidRDefault="00B2325B" w:rsidP="00B2325B">
            <w:pPr>
              <w:spacing w:after="0" w:line="240" w:lineRule="auto"/>
              <w:rPr>
                <w:rFonts w:cs="Calibri"/>
                <w:i/>
                <w:iCs/>
                <w:sz w:val="20"/>
                <w:szCs w:val="20"/>
              </w:rPr>
            </w:pPr>
            <w:r w:rsidRPr="00C66731">
              <w:rPr>
                <w:rFonts w:cs="Calibri"/>
                <w:i/>
                <w:iCs/>
                <w:sz w:val="20"/>
                <w:szCs w:val="20"/>
              </w:rPr>
              <w:t xml:space="preserve">£595 subscription </w:t>
            </w:r>
          </w:p>
          <w:p w14:paraId="52DD1FF6" w14:textId="77777777" w:rsidR="00B2325B" w:rsidRPr="00C66731" w:rsidRDefault="00B2325B" w:rsidP="00B2325B">
            <w:pPr>
              <w:spacing w:after="0" w:line="240" w:lineRule="auto"/>
              <w:rPr>
                <w:rFonts w:cs="Calibri"/>
                <w:i/>
                <w:iCs/>
                <w:sz w:val="20"/>
                <w:szCs w:val="20"/>
              </w:rPr>
            </w:pPr>
          </w:p>
          <w:p w14:paraId="3BB9C904" w14:textId="39E59751" w:rsidR="00D95499" w:rsidRPr="00C66731" w:rsidRDefault="00B2325B" w:rsidP="00C66731">
            <w:pPr>
              <w:spacing w:after="0" w:line="240" w:lineRule="auto"/>
              <w:rPr>
                <w:rFonts w:cs="Calibri"/>
                <w:i/>
                <w:iCs/>
                <w:sz w:val="20"/>
                <w:szCs w:val="20"/>
              </w:rPr>
            </w:pPr>
            <w:r w:rsidRPr="00C66731">
              <w:rPr>
                <w:rFonts w:cs="Calibri"/>
                <w:i/>
                <w:iCs/>
                <w:sz w:val="20"/>
                <w:szCs w:val="20"/>
              </w:rPr>
              <w:t>£2000 books to run Literacy Tree Planning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7120" w14:textId="77777777" w:rsidR="00D95499" w:rsidRDefault="00D95499">
            <w:pPr>
              <w:pStyle w:val="TableRowCentered"/>
              <w:jc w:val="left"/>
              <w:rPr>
                <w:sz w:val="22"/>
                <w:szCs w:val="22"/>
              </w:rPr>
            </w:pPr>
            <w:r>
              <w:rPr>
                <w:sz w:val="22"/>
                <w:szCs w:val="22"/>
              </w:rPr>
              <w:t>Effective teaching of comprehension has a positive impact on developing understanding across all curriculum areas.</w:t>
            </w:r>
          </w:p>
          <w:p w14:paraId="1775ABA6" w14:textId="0F0E25A3" w:rsidR="004355CA" w:rsidRDefault="00595BAD">
            <w:pPr>
              <w:pStyle w:val="TableRowCentered"/>
              <w:jc w:val="left"/>
              <w:rPr>
                <w:sz w:val="22"/>
                <w:szCs w:val="22"/>
              </w:rPr>
            </w:pPr>
            <w:r w:rsidRPr="00532153">
              <w:rPr>
                <w:sz w:val="22"/>
                <w:szCs w:val="22"/>
              </w:rPr>
              <w:t>EEF Toolkit- Reading comprehension strategies (+6)</w:t>
            </w:r>
          </w:p>
          <w:p w14:paraId="5ACCCE15" w14:textId="77777777" w:rsidR="00F8085E" w:rsidRPr="00532153" w:rsidRDefault="00F8085E">
            <w:pPr>
              <w:pStyle w:val="TableRowCentered"/>
              <w:jc w:val="left"/>
              <w:rPr>
                <w:sz w:val="22"/>
                <w:szCs w:val="22"/>
              </w:rPr>
            </w:pPr>
          </w:p>
          <w:p w14:paraId="616162DC" w14:textId="76284BC7" w:rsidR="003410B2" w:rsidRPr="00532153" w:rsidRDefault="003410B2">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A8BE7" w14:textId="7312375A" w:rsidR="004355CA" w:rsidRPr="00532153" w:rsidRDefault="00B2325B">
            <w:pPr>
              <w:pStyle w:val="TableRowCentered"/>
              <w:jc w:val="left"/>
              <w:rPr>
                <w:sz w:val="22"/>
                <w:szCs w:val="22"/>
              </w:rPr>
            </w:pPr>
            <w:proofErr w:type="gramStart"/>
            <w:r>
              <w:rPr>
                <w:sz w:val="22"/>
                <w:szCs w:val="22"/>
              </w:rPr>
              <w:t>1  6</w:t>
            </w:r>
            <w:proofErr w:type="gramEnd"/>
          </w:p>
        </w:tc>
      </w:tr>
    </w:tbl>
    <w:p w14:paraId="2A7D5522" w14:textId="77777777" w:rsidR="00E66558" w:rsidRDefault="00E66558">
      <w:pPr>
        <w:keepNext/>
        <w:spacing w:after="60"/>
        <w:outlineLvl w:val="1"/>
      </w:pPr>
    </w:p>
    <w:p w14:paraId="43F3C2DB" w14:textId="77777777" w:rsidR="00C66731" w:rsidRDefault="00C66731">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4CE7B896" w14:textId="79514907" w:rsidR="00732F07" w:rsidRDefault="009D71E8">
      <w:r>
        <w:t xml:space="preserve">Budgeted cost: </w:t>
      </w:r>
      <w:r w:rsidR="001D3162">
        <w:t>Academic year 202</w:t>
      </w:r>
      <w:r w:rsidR="00C66731">
        <w:t>3</w:t>
      </w:r>
      <w:r w:rsidR="001D3162">
        <w:t>-202</w:t>
      </w:r>
      <w:r w:rsidR="00C66731">
        <w:t>4</w:t>
      </w:r>
      <w:r w:rsidR="001D3162">
        <w:t>=</w:t>
      </w:r>
      <w:r w:rsidR="00892448">
        <w:t xml:space="preserve"> £35458</w:t>
      </w:r>
    </w:p>
    <w:tbl>
      <w:tblPr>
        <w:tblW w:w="5000" w:type="pct"/>
        <w:tblCellMar>
          <w:left w:w="10" w:type="dxa"/>
          <w:right w:w="10" w:type="dxa"/>
        </w:tblCellMar>
        <w:tblLook w:val="04A0" w:firstRow="1" w:lastRow="0" w:firstColumn="1" w:lastColumn="0" w:noHBand="0" w:noVBand="1"/>
      </w:tblPr>
      <w:tblGrid>
        <w:gridCol w:w="2708"/>
        <w:gridCol w:w="4226"/>
        <w:gridCol w:w="2552"/>
      </w:tblGrid>
      <w:tr w:rsidR="00E66558" w14:paraId="2A7D5528" w14:textId="77777777" w:rsidTr="009B6B81">
        <w:tc>
          <w:tcPr>
            <w:tcW w:w="27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2296E" w14:paraId="17159048" w14:textId="77777777" w:rsidTr="009B6B81">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9A618" w14:textId="77777777" w:rsidR="0042296E" w:rsidRDefault="0042296E">
            <w:pPr>
              <w:pStyle w:val="TableRow"/>
              <w:rPr>
                <w:sz w:val="22"/>
                <w:szCs w:val="22"/>
              </w:rPr>
            </w:pPr>
            <w:r w:rsidRPr="00D95499">
              <w:rPr>
                <w:sz w:val="22"/>
                <w:szCs w:val="22"/>
              </w:rPr>
              <w:t xml:space="preserve">Use Teaching Assistant Hours to deliver small group and targeted 1:1 support in </w:t>
            </w:r>
            <w:proofErr w:type="gramStart"/>
            <w:r w:rsidR="000A1850">
              <w:rPr>
                <w:sz w:val="22"/>
                <w:szCs w:val="22"/>
              </w:rPr>
              <w:t>phonics</w:t>
            </w:r>
            <w:proofErr w:type="gramEnd"/>
          </w:p>
          <w:p w14:paraId="4B740AB8" w14:textId="77777777" w:rsidR="009B6B81" w:rsidRPr="00C66731" w:rsidRDefault="009B6B81">
            <w:pPr>
              <w:pStyle w:val="TableRow"/>
              <w:rPr>
                <w:i/>
                <w:iCs/>
                <w:sz w:val="20"/>
                <w:szCs w:val="20"/>
              </w:rPr>
            </w:pPr>
          </w:p>
          <w:p w14:paraId="04A8AA85" w14:textId="77777777" w:rsidR="009B6B81" w:rsidRDefault="009B6B81" w:rsidP="00C66731">
            <w:pPr>
              <w:pStyle w:val="TableRow"/>
              <w:rPr>
                <w:i/>
                <w:iCs/>
                <w:sz w:val="20"/>
                <w:szCs w:val="20"/>
              </w:rPr>
            </w:pPr>
            <w:r w:rsidRPr="00C66731">
              <w:rPr>
                <w:i/>
                <w:iCs/>
                <w:sz w:val="20"/>
                <w:szCs w:val="20"/>
              </w:rPr>
              <w:t>£15164 (1/2 of TAs salary including on costs reflective of Time spent on phonics intervention throughout the school including Fresh Start in Years 5 and 6)</w:t>
            </w:r>
          </w:p>
          <w:p w14:paraId="2065725D" w14:textId="725EDE19" w:rsidR="00676127" w:rsidRPr="00C66731" w:rsidRDefault="00676127" w:rsidP="00C66731">
            <w:pPr>
              <w:pStyle w:val="TableRow"/>
              <w:rPr>
                <w:i/>
                <w:iCs/>
                <w:sz w:val="20"/>
                <w:szCs w:val="20"/>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E577" w14:textId="77777777" w:rsidR="000A1850" w:rsidRDefault="000A1850" w:rsidP="000A1850">
            <w:pPr>
              <w:pStyle w:val="TableRowCentered"/>
              <w:jc w:val="left"/>
              <w:rPr>
                <w:sz w:val="22"/>
              </w:rPr>
            </w:pPr>
            <w:r w:rsidRPr="00D95499">
              <w:rPr>
                <w:sz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r>
              <w:rPr>
                <w:sz w:val="22"/>
              </w:rPr>
              <w:t xml:space="preserve"> </w:t>
            </w:r>
          </w:p>
          <w:p w14:paraId="2823980D" w14:textId="504BEFA7" w:rsidR="000A1850" w:rsidRDefault="000A1850" w:rsidP="000A1850">
            <w:pPr>
              <w:pStyle w:val="TableRowCentered"/>
              <w:jc w:val="left"/>
              <w:rPr>
                <w:sz w:val="22"/>
              </w:rPr>
            </w:pPr>
            <w:r>
              <w:rPr>
                <w:sz w:val="22"/>
              </w:rPr>
              <w:t>EEF Toolkit- Phonics (+6)</w:t>
            </w:r>
          </w:p>
          <w:p w14:paraId="2C0B142C" w14:textId="504CAA06" w:rsidR="00B539F9" w:rsidRDefault="00B539F9">
            <w:pPr>
              <w:pStyle w:val="TableRowCentered"/>
              <w:jc w:val="left"/>
              <w:rPr>
                <w:sz w:val="22"/>
              </w:rPr>
            </w:pPr>
            <w:r>
              <w:rPr>
                <w:sz w:val="22"/>
              </w:rPr>
              <w:t>EEF Toolkit- Teaching Assistant interventions (+4)</w:t>
            </w:r>
          </w:p>
          <w:p w14:paraId="6EE12EFA" w14:textId="0C35C964" w:rsidR="00CC7920" w:rsidRDefault="00CC7920">
            <w:pPr>
              <w:pStyle w:val="TableRowCentered"/>
              <w:jc w:val="left"/>
              <w:rPr>
                <w:sz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41AD0" w14:textId="00F274AD" w:rsidR="0042296E" w:rsidRDefault="009C2105">
            <w:pPr>
              <w:pStyle w:val="TableRowCentered"/>
              <w:jc w:val="left"/>
              <w:rPr>
                <w:sz w:val="22"/>
              </w:rPr>
            </w:pPr>
            <w:r>
              <w:rPr>
                <w:sz w:val="22"/>
              </w:rPr>
              <w:t>1    6</w:t>
            </w:r>
          </w:p>
        </w:tc>
      </w:tr>
      <w:tr w:rsidR="00676127" w14:paraId="2478A245" w14:textId="77777777" w:rsidTr="009B6B81">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481AC" w14:textId="60AA3C3F" w:rsidR="00676127" w:rsidRDefault="00676127" w:rsidP="00676127">
            <w:pPr>
              <w:pStyle w:val="TableRow"/>
              <w:rPr>
                <w:sz w:val="22"/>
                <w:szCs w:val="22"/>
              </w:rPr>
            </w:pPr>
            <w:r w:rsidRPr="00D95499">
              <w:rPr>
                <w:sz w:val="22"/>
                <w:szCs w:val="22"/>
              </w:rPr>
              <w:t xml:space="preserve">Use Teaching Assistant Hours to deliver small group and targeted 1:1 support </w:t>
            </w:r>
            <w:r w:rsidR="00980B7C">
              <w:rPr>
                <w:sz w:val="22"/>
                <w:szCs w:val="22"/>
              </w:rPr>
              <w:t xml:space="preserve">in core </w:t>
            </w:r>
            <w:proofErr w:type="gramStart"/>
            <w:r w:rsidR="00980B7C">
              <w:rPr>
                <w:sz w:val="22"/>
                <w:szCs w:val="22"/>
              </w:rPr>
              <w:t>subjects</w:t>
            </w:r>
            <w:proofErr w:type="gramEnd"/>
          </w:p>
          <w:p w14:paraId="1BFF8C76" w14:textId="77777777" w:rsidR="00676127" w:rsidRPr="00C66731" w:rsidRDefault="00676127" w:rsidP="00676127">
            <w:pPr>
              <w:pStyle w:val="TableRow"/>
              <w:rPr>
                <w:i/>
                <w:iCs/>
                <w:sz w:val="20"/>
                <w:szCs w:val="20"/>
              </w:rPr>
            </w:pPr>
          </w:p>
          <w:p w14:paraId="35BC50B4" w14:textId="47F1D32C" w:rsidR="00676127" w:rsidRDefault="00676127" w:rsidP="00676127">
            <w:pPr>
              <w:pStyle w:val="TableRow"/>
              <w:rPr>
                <w:i/>
                <w:iCs/>
                <w:sz w:val="20"/>
                <w:szCs w:val="20"/>
              </w:rPr>
            </w:pPr>
            <w:r w:rsidRPr="00C66731">
              <w:rPr>
                <w:i/>
                <w:iCs/>
                <w:sz w:val="20"/>
                <w:szCs w:val="20"/>
              </w:rPr>
              <w:t xml:space="preserve">£15164 (1/2 of TAs salary including on costs reflective of </w:t>
            </w:r>
            <w:r w:rsidR="00D80E9B">
              <w:rPr>
                <w:i/>
                <w:iCs/>
                <w:sz w:val="20"/>
                <w:szCs w:val="20"/>
              </w:rPr>
              <w:t>t</w:t>
            </w:r>
            <w:r w:rsidRPr="00C66731">
              <w:rPr>
                <w:i/>
                <w:iCs/>
                <w:sz w:val="20"/>
                <w:szCs w:val="20"/>
              </w:rPr>
              <w:t>ime spent on</w:t>
            </w:r>
            <w:r w:rsidR="00D80E9B">
              <w:rPr>
                <w:i/>
                <w:iCs/>
                <w:sz w:val="20"/>
                <w:szCs w:val="20"/>
              </w:rPr>
              <w:t xml:space="preserve"> core subject interventions</w:t>
            </w:r>
          </w:p>
          <w:p w14:paraId="6DFB1B98" w14:textId="77777777" w:rsidR="00676127" w:rsidRPr="00D95499" w:rsidRDefault="00676127">
            <w:pPr>
              <w:pStyle w:val="TableRow"/>
              <w:rPr>
                <w:sz w:val="22"/>
                <w:szCs w:val="22"/>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7CD31" w14:textId="77777777" w:rsidR="00676127" w:rsidRDefault="00D80E9B" w:rsidP="000A1850">
            <w:pPr>
              <w:pStyle w:val="TableRowCentered"/>
              <w:jc w:val="left"/>
              <w:rPr>
                <w:sz w:val="22"/>
              </w:rPr>
            </w:pPr>
            <w:r>
              <w:rPr>
                <w:sz w:val="22"/>
              </w:rPr>
              <w:t>Teaching assistants can provide a large positive impact on learner outcomes. Small groups or individuals has a higher impact than whole class deployment.</w:t>
            </w:r>
          </w:p>
          <w:p w14:paraId="555E905A" w14:textId="45A402A9" w:rsidR="00D80E9B" w:rsidRPr="00D95499" w:rsidRDefault="00D80E9B" w:rsidP="000A1850">
            <w:pPr>
              <w:pStyle w:val="TableRowCentered"/>
              <w:jc w:val="left"/>
              <w:rPr>
                <w:sz w:val="22"/>
              </w:rPr>
            </w:pPr>
            <w:r>
              <w:rPr>
                <w:sz w:val="22"/>
              </w:rPr>
              <w:t>EEF Toolkit Teaching Assistant Interventions (+4months)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4A989" w14:textId="59918F8D" w:rsidR="00676127" w:rsidRDefault="00D80E9B">
            <w:pPr>
              <w:pStyle w:val="TableRowCentered"/>
              <w:jc w:val="left"/>
              <w:rPr>
                <w:sz w:val="22"/>
              </w:rPr>
            </w:pPr>
            <w:proofErr w:type="gramStart"/>
            <w:r>
              <w:rPr>
                <w:sz w:val="22"/>
              </w:rPr>
              <w:t>1  6</w:t>
            </w:r>
            <w:proofErr w:type="gramEnd"/>
          </w:p>
        </w:tc>
      </w:tr>
      <w:tr w:rsidR="00D95499" w14:paraId="56619165" w14:textId="77777777" w:rsidTr="009B6B81">
        <w:tc>
          <w:tcPr>
            <w:tcW w:w="2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970FA" w14:textId="77777777" w:rsidR="00E4126E" w:rsidRDefault="00E4126E" w:rsidP="00D80E9B">
            <w:pPr>
              <w:pStyle w:val="TableRow"/>
              <w:ind w:left="0"/>
              <w:rPr>
                <w:iCs/>
                <w:sz w:val="22"/>
              </w:rPr>
            </w:pPr>
          </w:p>
          <w:p w14:paraId="0B97A023" w14:textId="77777777" w:rsidR="00E4126E" w:rsidRDefault="00E4126E" w:rsidP="00595BAD">
            <w:pPr>
              <w:pStyle w:val="TableRow"/>
              <w:rPr>
                <w:iCs/>
                <w:sz w:val="22"/>
              </w:rPr>
            </w:pPr>
            <w:r>
              <w:rPr>
                <w:iCs/>
                <w:sz w:val="22"/>
              </w:rPr>
              <w:t>National Tutoring Programme</w:t>
            </w:r>
          </w:p>
          <w:p w14:paraId="1FD6A1A9" w14:textId="70A0C3A7" w:rsidR="00D80E9B" w:rsidRDefault="00D80E9B" w:rsidP="00595BAD">
            <w:pPr>
              <w:pStyle w:val="TableRow"/>
              <w:rPr>
                <w:iCs/>
                <w:sz w:val="22"/>
              </w:rPr>
            </w:pPr>
            <w:r>
              <w:rPr>
                <w:iCs/>
                <w:sz w:val="22"/>
              </w:rPr>
              <w:t>£5130 + £5130 match</w:t>
            </w:r>
          </w:p>
          <w:p w14:paraId="05B1B37A" w14:textId="77777777" w:rsidR="00523402" w:rsidRDefault="00523402" w:rsidP="00595BAD">
            <w:pPr>
              <w:pStyle w:val="TableRow"/>
              <w:rPr>
                <w:iCs/>
                <w:sz w:val="22"/>
              </w:rPr>
            </w:pPr>
          </w:p>
          <w:p w14:paraId="46E3E60E" w14:textId="20AE5518" w:rsidR="00523402" w:rsidRPr="00D95499" w:rsidRDefault="00523402" w:rsidP="00595BAD">
            <w:pPr>
              <w:pStyle w:val="TableRow"/>
              <w:rPr>
                <w:iCs/>
                <w:sz w:val="22"/>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EF86B" w14:textId="0D3F025A" w:rsidR="00E4126E" w:rsidRDefault="00E4126E" w:rsidP="00E4126E">
            <w:pPr>
              <w:pStyle w:val="TableRowCentered"/>
              <w:ind w:left="0"/>
              <w:jc w:val="left"/>
              <w:rPr>
                <w:sz w:val="22"/>
              </w:rPr>
            </w:pPr>
            <w:r w:rsidRPr="00E4126E">
              <w:rPr>
                <w:sz w:val="22"/>
              </w:rPr>
              <w:t>Tuition targeted at specific needs and knowledge gaps can be an effective method to support low attaining pupils or those falling behind, both one-to-one and small groups.</w:t>
            </w:r>
          </w:p>
          <w:p w14:paraId="76F36906" w14:textId="04BB0A83" w:rsidR="00D95499" w:rsidRPr="00D95499" w:rsidRDefault="00D95499" w:rsidP="00D95499">
            <w:pPr>
              <w:pStyle w:val="TableRowCentered"/>
              <w:jc w:val="left"/>
              <w:rPr>
                <w:sz w:val="22"/>
              </w:rPr>
            </w:pPr>
            <w:r w:rsidRPr="00D95499">
              <w:rPr>
                <w:sz w:val="22"/>
              </w:rPr>
              <w:t>EEF Toolkit – 1:1 tuition (+5)</w:t>
            </w:r>
          </w:p>
          <w:p w14:paraId="2FFD856C" w14:textId="7310F965" w:rsidR="00D95499" w:rsidRDefault="00D95499" w:rsidP="00D95499">
            <w:pPr>
              <w:pStyle w:val="TableRowCentered"/>
              <w:jc w:val="left"/>
              <w:rPr>
                <w:sz w:val="22"/>
              </w:rPr>
            </w:pPr>
            <w:r w:rsidRPr="00D95499">
              <w:rPr>
                <w:sz w:val="22"/>
              </w:rPr>
              <w:t>EEF Toolkit- Small group tuition (+4)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44E03" w14:textId="1053E135" w:rsidR="00D95499" w:rsidRDefault="00D80E9B" w:rsidP="00595BAD">
            <w:pPr>
              <w:pStyle w:val="TableRowCentered"/>
              <w:jc w:val="left"/>
              <w:rPr>
                <w:sz w:val="22"/>
              </w:rPr>
            </w:pPr>
            <w:r>
              <w:rPr>
                <w:sz w:val="22"/>
              </w:rPr>
              <w:t>1   6</w:t>
            </w:r>
          </w:p>
        </w:tc>
      </w:tr>
    </w:tbl>
    <w:p w14:paraId="2A7D5531" w14:textId="77777777" w:rsidR="00E66558" w:rsidRDefault="00E66558">
      <w:pPr>
        <w:spacing w:after="0"/>
        <w:rPr>
          <w:b/>
          <w:color w:val="104F75"/>
          <w:sz w:val="28"/>
          <w:szCs w:val="28"/>
        </w:rPr>
      </w:pPr>
    </w:p>
    <w:p w14:paraId="53C00A40" w14:textId="77777777" w:rsidR="00676127" w:rsidRDefault="00676127" w:rsidP="00A84BB5">
      <w:pPr>
        <w:rPr>
          <w:b/>
          <w:color w:val="104F75"/>
          <w:sz w:val="28"/>
          <w:szCs w:val="28"/>
        </w:rPr>
      </w:pPr>
    </w:p>
    <w:p w14:paraId="44CB5AAD" w14:textId="77777777" w:rsidR="00676127" w:rsidRDefault="00676127" w:rsidP="00A84BB5">
      <w:pPr>
        <w:rPr>
          <w:b/>
          <w:color w:val="104F75"/>
          <w:sz w:val="28"/>
          <w:szCs w:val="28"/>
        </w:rPr>
      </w:pPr>
    </w:p>
    <w:p w14:paraId="4BB611AE" w14:textId="09560A07" w:rsidR="00A84BB5" w:rsidRDefault="009D71E8" w:rsidP="00A84BB5">
      <w:pPr>
        <w:rPr>
          <w:b/>
          <w:color w:val="104F75"/>
          <w:sz w:val="28"/>
          <w:szCs w:val="28"/>
        </w:rPr>
      </w:pPr>
      <w:r>
        <w:rPr>
          <w:b/>
          <w:color w:val="104F75"/>
          <w:sz w:val="28"/>
          <w:szCs w:val="28"/>
        </w:rPr>
        <w:t>Wider strategies (for example, related to attendance, behaviour, wellbeing</w:t>
      </w:r>
    </w:p>
    <w:p w14:paraId="0A2F9083" w14:textId="4063B225" w:rsidR="00A84BB5" w:rsidRPr="00A84BB5" w:rsidRDefault="009D71E8" w:rsidP="00A84BB5">
      <w:pPr>
        <w:spacing w:after="0"/>
        <w:rPr>
          <w:b/>
          <w:color w:val="104F75"/>
          <w:sz w:val="28"/>
          <w:szCs w:val="28"/>
        </w:rPr>
      </w:pPr>
      <w:r>
        <w:t xml:space="preserve">Budgeted cost: </w:t>
      </w:r>
    </w:p>
    <w:p w14:paraId="6C7D4152" w14:textId="527D2D56" w:rsidR="00A84BB5" w:rsidRDefault="001D3162" w:rsidP="00A84BB5">
      <w:pPr>
        <w:spacing w:after="0"/>
      </w:pPr>
      <w:r>
        <w:t>Academic year 202</w:t>
      </w:r>
      <w:r w:rsidR="009B6B81">
        <w:t>3 – 2024=</w:t>
      </w:r>
      <w:r w:rsidR="00707EB2">
        <w:t xml:space="preserve"> £17702.40</w:t>
      </w:r>
    </w:p>
    <w:tbl>
      <w:tblPr>
        <w:tblW w:w="5000" w:type="pct"/>
        <w:tblCellMar>
          <w:left w:w="10" w:type="dxa"/>
          <w:right w:w="10" w:type="dxa"/>
        </w:tblCellMar>
        <w:tblLook w:val="04A0" w:firstRow="1" w:lastRow="0" w:firstColumn="1" w:lastColumn="0" w:noHBand="0" w:noVBand="1"/>
      </w:tblPr>
      <w:tblGrid>
        <w:gridCol w:w="2699"/>
        <w:gridCol w:w="4230"/>
        <w:gridCol w:w="2557"/>
      </w:tblGrid>
      <w:tr w:rsidR="007C4C44" w14:paraId="2A7D5537" w14:textId="77777777" w:rsidTr="00691272">
        <w:tc>
          <w:tcPr>
            <w:tcW w:w="26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7C4C44" w14:paraId="2A7D553B" w14:textId="77777777" w:rsidTr="00691272">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9066" w14:textId="0AAE5164" w:rsidR="00E4126E" w:rsidRDefault="00583930" w:rsidP="00BD1B7A">
            <w:pPr>
              <w:pStyle w:val="TableRow"/>
              <w:ind w:left="0"/>
              <w:rPr>
                <w:sz w:val="22"/>
                <w:szCs w:val="22"/>
              </w:rPr>
            </w:pPr>
            <w:r>
              <w:rPr>
                <w:sz w:val="22"/>
                <w:szCs w:val="22"/>
              </w:rPr>
              <w:t>I</w:t>
            </w:r>
            <w:r w:rsidR="004355CA" w:rsidRPr="00BD1B7A">
              <w:rPr>
                <w:sz w:val="22"/>
                <w:szCs w:val="22"/>
              </w:rPr>
              <w:t>mprove attendance</w:t>
            </w:r>
            <w:r w:rsidR="00BD1B7A" w:rsidRPr="00BD1B7A">
              <w:rPr>
                <w:sz w:val="22"/>
                <w:szCs w:val="22"/>
              </w:rPr>
              <w:t xml:space="preserve"> and as a result embed </w:t>
            </w:r>
            <w:r w:rsidR="00E4126E" w:rsidRPr="00BD1B7A">
              <w:rPr>
                <w:sz w:val="22"/>
                <w:szCs w:val="22"/>
              </w:rPr>
              <w:t>principles of good practice set out in the DfE’s Improving School Attendance advice.</w:t>
            </w:r>
          </w:p>
          <w:p w14:paraId="15F86454" w14:textId="77777777" w:rsidR="00583930" w:rsidRPr="00BD1B7A" w:rsidRDefault="00583930" w:rsidP="00BD1B7A">
            <w:pPr>
              <w:pStyle w:val="TableRow"/>
              <w:ind w:left="0"/>
              <w:rPr>
                <w:sz w:val="22"/>
                <w:szCs w:val="22"/>
              </w:rPr>
            </w:pPr>
          </w:p>
          <w:p w14:paraId="482DAAB6" w14:textId="77777777" w:rsidR="00BD1B7A" w:rsidRPr="007C4C44" w:rsidRDefault="00BD1B7A" w:rsidP="00E4126E">
            <w:pPr>
              <w:pStyle w:val="TableRow"/>
              <w:ind w:left="0"/>
              <w:rPr>
                <w:i/>
                <w:iCs/>
                <w:sz w:val="20"/>
                <w:szCs w:val="20"/>
              </w:rPr>
            </w:pPr>
            <w:r w:rsidRPr="007C4C44">
              <w:rPr>
                <w:i/>
                <w:iCs/>
                <w:sz w:val="20"/>
                <w:szCs w:val="20"/>
              </w:rPr>
              <w:t xml:space="preserve">Subscribe to </w:t>
            </w:r>
            <w:r w:rsidR="004F5032" w:rsidRPr="007C4C44">
              <w:rPr>
                <w:i/>
                <w:iCs/>
                <w:sz w:val="20"/>
                <w:szCs w:val="20"/>
              </w:rPr>
              <w:t xml:space="preserve">Halton </w:t>
            </w:r>
            <w:r w:rsidRPr="007C4C44">
              <w:rPr>
                <w:i/>
                <w:iCs/>
                <w:sz w:val="20"/>
                <w:szCs w:val="20"/>
              </w:rPr>
              <w:t xml:space="preserve">LA Attendance Service SLA </w:t>
            </w:r>
            <w:proofErr w:type="gramStart"/>
            <w:r w:rsidRPr="007C4C44">
              <w:rPr>
                <w:i/>
                <w:iCs/>
                <w:sz w:val="20"/>
                <w:szCs w:val="20"/>
              </w:rPr>
              <w:t>offer</w:t>
            </w:r>
            <w:proofErr w:type="gramEnd"/>
          </w:p>
          <w:p w14:paraId="1F07CAD8" w14:textId="6A4B9F56" w:rsidR="000E262B" w:rsidRPr="007C4C44" w:rsidRDefault="000E262B" w:rsidP="007C4C44">
            <w:pPr>
              <w:spacing w:after="0" w:line="240" w:lineRule="auto"/>
              <w:rPr>
                <w:rFonts w:cs="Arial"/>
                <w:i/>
                <w:iCs/>
                <w:sz w:val="20"/>
                <w:szCs w:val="20"/>
              </w:rPr>
            </w:pPr>
            <w:r w:rsidRPr="007C4C44">
              <w:rPr>
                <w:rFonts w:cs="Arial"/>
                <w:i/>
                <w:iCs/>
                <w:sz w:val="20"/>
                <w:szCs w:val="20"/>
              </w:rPr>
              <w:t xml:space="preserve">£33.15 per hour for </w:t>
            </w:r>
            <w:r w:rsidR="007C4C44" w:rsidRPr="007C4C44">
              <w:rPr>
                <w:rFonts w:cs="Arial"/>
                <w:i/>
                <w:iCs/>
                <w:sz w:val="20"/>
                <w:szCs w:val="20"/>
              </w:rPr>
              <w:t>30</w:t>
            </w:r>
            <w:r w:rsidRPr="007C4C44">
              <w:rPr>
                <w:rFonts w:cs="Arial"/>
                <w:i/>
                <w:iCs/>
                <w:sz w:val="20"/>
                <w:szCs w:val="20"/>
              </w:rPr>
              <w:t xml:space="preserve"> hours=£</w:t>
            </w:r>
            <w:r w:rsidR="007C4C44" w:rsidRPr="007C4C44">
              <w:rPr>
                <w:rFonts w:cs="Arial"/>
                <w:i/>
                <w:iCs/>
                <w:sz w:val="20"/>
                <w:szCs w:val="20"/>
              </w:rPr>
              <w:t>994.5</w:t>
            </w:r>
          </w:p>
          <w:p w14:paraId="2A7D5538" w14:textId="32527ECD" w:rsidR="000E262B" w:rsidRPr="00BD1B7A" w:rsidRDefault="000E262B" w:rsidP="00E4126E">
            <w:pPr>
              <w:pStyle w:val="TableRow"/>
              <w:ind w:left="0"/>
              <w:rPr>
                <w:sz w:val="22"/>
                <w:szCs w:val="22"/>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5EB86" w14:textId="77777777" w:rsidR="00E4126E" w:rsidRDefault="00E4126E">
            <w:pPr>
              <w:pStyle w:val="TableRowCentered"/>
              <w:jc w:val="left"/>
              <w:rPr>
                <w:sz w:val="22"/>
              </w:rPr>
            </w:pPr>
            <w:r w:rsidRPr="00E4126E">
              <w:rPr>
                <w:sz w:val="22"/>
              </w:rPr>
              <w:t>The DfE guidance has been informed by engagement with schools that have significantly reduced levels of absence and persistent absence.</w:t>
            </w:r>
          </w:p>
          <w:p w14:paraId="2A7D5539" w14:textId="7EF6B1A9" w:rsidR="00E4126E" w:rsidRDefault="00E4126E">
            <w:pPr>
              <w:pStyle w:val="TableRowCentered"/>
              <w:jc w:val="left"/>
              <w:rPr>
                <w:sz w:val="22"/>
              </w:rPr>
            </w:pPr>
            <w:r w:rsidRPr="00E4126E">
              <w:rPr>
                <w:sz w:val="22"/>
              </w:rPr>
              <w:t>DFE Research project published 2016</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133BF92" w:rsidR="00E66558" w:rsidRDefault="00FE2E4D">
            <w:pPr>
              <w:pStyle w:val="TableRowCentered"/>
              <w:jc w:val="left"/>
              <w:rPr>
                <w:sz w:val="22"/>
              </w:rPr>
            </w:pPr>
            <w:r>
              <w:rPr>
                <w:sz w:val="22"/>
              </w:rPr>
              <w:t>4</w:t>
            </w:r>
          </w:p>
        </w:tc>
      </w:tr>
      <w:tr w:rsidR="007C4C44" w14:paraId="69757450" w14:textId="77777777" w:rsidTr="00691272">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D4011" w14:textId="77777777" w:rsidR="007C4C44" w:rsidRDefault="00B539F9" w:rsidP="004F5032">
            <w:pPr>
              <w:pStyle w:val="TableRow"/>
              <w:rPr>
                <w:sz w:val="22"/>
                <w:szCs w:val="22"/>
              </w:rPr>
            </w:pPr>
            <w:r w:rsidRPr="005A448C">
              <w:rPr>
                <w:sz w:val="22"/>
                <w:szCs w:val="22"/>
              </w:rPr>
              <w:t>Develop and enhance SEMH provisions and inte</w:t>
            </w:r>
            <w:r w:rsidR="00CC7920" w:rsidRPr="005A448C">
              <w:rPr>
                <w:sz w:val="22"/>
                <w:szCs w:val="22"/>
              </w:rPr>
              <w:t>r</w:t>
            </w:r>
            <w:r w:rsidRPr="005A448C">
              <w:rPr>
                <w:sz w:val="22"/>
                <w:szCs w:val="22"/>
              </w:rPr>
              <w:t>ventions</w:t>
            </w:r>
            <w:r w:rsidR="00BD1B7A" w:rsidRPr="005A448C">
              <w:rPr>
                <w:sz w:val="22"/>
                <w:szCs w:val="22"/>
              </w:rPr>
              <w:t xml:space="preserve"> including </w:t>
            </w:r>
            <w:r w:rsidR="00C222E7">
              <w:rPr>
                <w:sz w:val="22"/>
                <w:szCs w:val="22"/>
              </w:rPr>
              <w:t xml:space="preserve">training all staff in QFT to provide support and consistency </w:t>
            </w:r>
            <w:r w:rsidR="007F0D87">
              <w:rPr>
                <w:sz w:val="22"/>
                <w:szCs w:val="22"/>
              </w:rPr>
              <w:t xml:space="preserve">across classes. </w:t>
            </w:r>
          </w:p>
          <w:p w14:paraId="6DD3A5E9" w14:textId="11507D22" w:rsidR="007C4C44" w:rsidRDefault="007C4C44" w:rsidP="004F5032">
            <w:pPr>
              <w:pStyle w:val="TableRow"/>
              <w:rPr>
                <w:sz w:val="22"/>
                <w:szCs w:val="22"/>
              </w:rPr>
            </w:pPr>
            <w:r>
              <w:rPr>
                <w:sz w:val="22"/>
                <w:szCs w:val="22"/>
              </w:rPr>
              <w:t>1:1 and small group interventions</w:t>
            </w:r>
          </w:p>
          <w:p w14:paraId="349E862D" w14:textId="282AE99A" w:rsidR="000E262B" w:rsidRDefault="004F5032" w:rsidP="004F5032">
            <w:pPr>
              <w:pStyle w:val="TableRow"/>
              <w:rPr>
                <w:sz w:val="22"/>
                <w:szCs w:val="22"/>
              </w:rPr>
            </w:pPr>
            <w:r>
              <w:rPr>
                <w:sz w:val="22"/>
                <w:szCs w:val="22"/>
              </w:rPr>
              <w:t>ELSA, Lego Therapy, Sensory Circui</w:t>
            </w:r>
            <w:r w:rsidR="00C222E7">
              <w:rPr>
                <w:sz w:val="22"/>
                <w:szCs w:val="22"/>
              </w:rPr>
              <w:t>t</w:t>
            </w:r>
            <w:r>
              <w:rPr>
                <w:sz w:val="22"/>
                <w:szCs w:val="22"/>
              </w:rPr>
              <w:t>s</w:t>
            </w:r>
            <w:r w:rsidR="00C222E7">
              <w:rPr>
                <w:sz w:val="22"/>
                <w:szCs w:val="22"/>
              </w:rPr>
              <w:t>, Social Stories,</w:t>
            </w:r>
            <w:r w:rsidR="007C4C44">
              <w:rPr>
                <w:sz w:val="22"/>
                <w:szCs w:val="22"/>
              </w:rPr>
              <w:t xml:space="preserve"> Social Skills etc</w:t>
            </w:r>
          </w:p>
          <w:p w14:paraId="7BA6081D" w14:textId="77777777" w:rsidR="007C4C44" w:rsidRDefault="007C4C44" w:rsidP="004F5032">
            <w:pPr>
              <w:pStyle w:val="TableRow"/>
              <w:rPr>
                <w:sz w:val="22"/>
                <w:szCs w:val="22"/>
              </w:rPr>
            </w:pPr>
          </w:p>
          <w:p w14:paraId="24DE8394" w14:textId="77777777" w:rsidR="007C4C44" w:rsidRDefault="007C4C44" w:rsidP="004F5032">
            <w:pPr>
              <w:pStyle w:val="TableRow"/>
              <w:rPr>
                <w:sz w:val="22"/>
                <w:szCs w:val="22"/>
              </w:rPr>
            </w:pPr>
          </w:p>
          <w:p w14:paraId="110C885D" w14:textId="7333327B" w:rsidR="000E262B" w:rsidRDefault="007C4C44" w:rsidP="004F5032">
            <w:pPr>
              <w:pStyle w:val="TableRow"/>
              <w:rPr>
                <w:sz w:val="22"/>
                <w:szCs w:val="22"/>
              </w:rPr>
            </w:pPr>
            <w:r w:rsidRPr="00C66731">
              <w:rPr>
                <w:i/>
                <w:iCs/>
                <w:sz w:val="20"/>
                <w:szCs w:val="20"/>
              </w:rPr>
              <w:t>£1</w:t>
            </w:r>
            <w:r w:rsidR="00707EB2">
              <w:rPr>
                <w:i/>
                <w:iCs/>
                <w:sz w:val="20"/>
                <w:szCs w:val="20"/>
              </w:rPr>
              <w:t>3647</w:t>
            </w:r>
            <w:r w:rsidRPr="00C66731">
              <w:rPr>
                <w:i/>
                <w:iCs/>
                <w:sz w:val="20"/>
                <w:szCs w:val="20"/>
              </w:rPr>
              <w:t xml:space="preserve"> </w:t>
            </w:r>
            <w:r w:rsidR="00BA44F7">
              <w:rPr>
                <w:i/>
                <w:iCs/>
                <w:sz w:val="20"/>
                <w:szCs w:val="20"/>
              </w:rPr>
              <w:t>(</w:t>
            </w:r>
            <w:r w:rsidRPr="00C66731">
              <w:rPr>
                <w:i/>
                <w:iCs/>
                <w:sz w:val="20"/>
                <w:szCs w:val="20"/>
              </w:rPr>
              <w:t xml:space="preserve">TAs salary including on costs reflective of </w:t>
            </w:r>
            <w:r w:rsidR="00BA44F7">
              <w:rPr>
                <w:i/>
                <w:iCs/>
                <w:sz w:val="20"/>
                <w:szCs w:val="20"/>
              </w:rPr>
              <w:t>4 mornings</w:t>
            </w:r>
            <w:r w:rsidR="00707EB2">
              <w:rPr>
                <w:i/>
                <w:iCs/>
                <w:sz w:val="20"/>
                <w:szCs w:val="20"/>
              </w:rPr>
              <w:t xml:space="preserve"> and 1 part morning</w:t>
            </w:r>
            <w:r w:rsidRPr="00C66731">
              <w:rPr>
                <w:i/>
                <w:iCs/>
                <w:sz w:val="20"/>
                <w:szCs w:val="20"/>
              </w:rPr>
              <w:t>)</w:t>
            </w:r>
          </w:p>
          <w:p w14:paraId="3E8C809B" w14:textId="77777777" w:rsidR="000E262B" w:rsidRDefault="000E262B" w:rsidP="004F5032">
            <w:pPr>
              <w:pStyle w:val="TableRow"/>
              <w:rPr>
                <w:i/>
                <w:sz w:val="22"/>
                <w:szCs w:val="22"/>
              </w:rPr>
            </w:pPr>
          </w:p>
          <w:p w14:paraId="290A6693" w14:textId="77777777" w:rsidR="000E262B" w:rsidRPr="004355CA" w:rsidRDefault="000E262B" w:rsidP="004F5032">
            <w:pPr>
              <w:pStyle w:val="TableRow"/>
              <w:rPr>
                <w:i/>
                <w:iCs/>
                <w:sz w:val="22"/>
                <w:szCs w:val="22"/>
              </w:rPr>
            </w:pPr>
          </w:p>
          <w:p w14:paraId="5E1D00E9" w14:textId="55AD0835" w:rsidR="00BD1B7A" w:rsidRPr="004355CA" w:rsidRDefault="00BD1B7A">
            <w:pPr>
              <w:pStyle w:val="TableRow"/>
              <w:rPr>
                <w:i/>
                <w:iCs/>
                <w:sz w:val="22"/>
                <w:szCs w:val="22"/>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F3195" w14:textId="77777777" w:rsidR="002A60DF" w:rsidRDefault="002A60DF">
            <w:pPr>
              <w:pStyle w:val="TableRowCentered"/>
              <w:jc w:val="left"/>
              <w:rPr>
                <w:sz w:val="22"/>
              </w:rPr>
            </w:pPr>
            <w:r w:rsidRPr="002A60DF">
              <w:rPr>
                <w:sz w:val="22"/>
              </w:rPr>
              <w:t>Both targeted interventions and universal approaches can have positive overall effects:</w:t>
            </w:r>
          </w:p>
          <w:p w14:paraId="7D033DD6" w14:textId="5FBE7805" w:rsidR="004355CA" w:rsidRDefault="00CC7920">
            <w:pPr>
              <w:pStyle w:val="TableRowCentered"/>
              <w:jc w:val="left"/>
              <w:rPr>
                <w:sz w:val="22"/>
              </w:rPr>
            </w:pPr>
            <w:r>
              <w:rPr>
                <w:sz w:val="22"/>
              </w:rPr>
              <w:t>EEF Toolkit- Behaviour interventions (+</w:t>
            </w:r>
            <w:r w:rsidR="003410B2">
              <w:rPr>
                <w:sz w:val="22"/>
              </w:rPr>
              <w:t>4</w:t>
            </w:r>
            <w:r>
              <w:rPr>
                <w:sz w:val="22"/>
              </w:rPr>
              <w:t>)</w:t>
            </w:r>
          </w:p>
          <w:p w14:paraId="4F2611BE" w14:textId="4221A083" w:rsidR="00CC7920" w:rsidRDefault="00CC7920">
            <w:pPr>
              <w:pStyle w:val="TableRowCentered"/>
              <w:jc w:val="left"/>
              <w:rPr>
                <w:sz w:val="22"/>
              </w:rPr>
            </w:pPr>
            <w:r>
              <w:rPr>
                <w:sz w:val="22"/>
              </w:rPr>
              <w:t>EEF Toolkit-Social and Emotional learning (+4)</w:t>
            </w:r>
          </w:p>
          <w:p w14:paraId="19B8CCA7" w14:textId="5EEB1873" w:rsidR="00CC7920" w:rsidRDefault="00CC7920" w:rsidP="00A84BB5">
            <w:pPr>
              <w:pStyle w:val="TableRowCentered"/>
              <w:jc w:val="left"/>
              <w:rPr>
                <w:sz w:val="22"/>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EC9F" w14:textId="2216783D" w:rsidR="004355CA" w:rsidRDefault="00707EB2">
            <w:pPr>
              <w:pStyle w:val="TableRowCentered"/>
              <w:jc w:val="left"/>
              <w:rPr>
                <w:sz w:val="22"/>
              </w:rPr>
            </w:pPr>
            <w:r>
              <w:rPr>
                <w:sz w:val="22"/>
              </w:rPr>
              <w:t>3</w:t>
            </w:r>
          </w:p>
        </w:tc>
      </w:tr>
      <w:tr w:rsidR="007C4C44" w14:paraId="505C3175" w14:textId="77777777" w:rsidTr="00691272">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B7A11" w14:textId="77777777" w:rsidR="00B539F9" w:rsidRDefault="003410B2">
            <w:pPr>
              <w:pStyle w:val="TableRow"/>
              <w:rPr>
                <w:sz w:val="22"/>
                <w:szCs w:val="22"/>
              </w:rPr>
            </w:pPr>
            <w:r w:rsidRPr="005A448C">
              <w:rPr>
                <w:sz w:val="22"/>
                <w:szCs w:val="22"/>
              </w:rPr>
              <w:t xml:space="preserve">Develop a parent partnership </w:t>
            </w:r>
            <w:proofErr w:type="gramStart"/>
            <w:r w:rsidRPr="005A448C">
              <w:rPr>
                <w:sz w:val="22"/>
                <w:szCs w:val="22"/>
              </w:rPr>
              <w:t>programme</w:t>
            </w:r>
            <w:proofErr w:type="gramEnd"/>
          </w:p>
          <w:p w14:paraId="699DD83B" w14:textId="77777777" w:rsidR="00C222E7" w:rsidRDefault="00C222E7">
            <w:pPr>
              <w:pStyle w:val="TableRow"/>
              <w:rPr>
                <w:sz w:val="22"/>
                <w:szCs w:val="22"/>
              </w:rPr>
            </w:pPr>
          </w:p>
          <w:p w14:paraId="2EA9ECF4" w14:textId="77777777" w:rsidR="00C04208" w:rsidRPr="007C4C44" w:rsidRDefault="00C04208">
            <w:pPr>
              <w:pStyle w:val="TableRow"/>
              <w:rPr>
                <w:i/>
                <w:iCs/>
                <w:sz w:val="22"/>
                <w:szCs w:val="22"/>
              </w:rPr>
            </w:pPr>
          </w:p>
          <w:p w14:paraId="3486CD85" w14:textId="6B90DE04" w:rsidR="00C04208" w:rsidRPr="007C4C44" w:rsidRDefault="007C4C44" w:rsidP="00C04208">
            <w:pPr>
              <w:spacing w:after="0" w:line="240" w:lineRule="auto"/>
              <w:rPr>
                <w:rFonts w:cs="Calibri"/>
                <w:i/>
                <w:iCs/>
                <w:sz w:val="20"/>
                <w:szCs w:val="20"/>
              </w:rPr>
            </w:pPr>
            <w:r>
              <w:rPr>
                <w:rFonts w:cs="Calibri"/>
                <w:i/>
                <w:iCs/>
                <w:sz w:val="20"/>
                <w:szCs w:val="20"/>
              </w:rPr>
              <w:t>£</w:t>
            </w:r>
            <w:r w:rsidR="00C04208" w:rsidRPr="007C4C44">
              <w:rPr>
                <w:rFonts w:cs="Calibri"/>
                <w:i/>
                <w:iCs/>
                <w:sz w:val="20"/>
                <w:szCs w:val="20"/>
              </w:rPr>
              <w:t xml:space="preserve">1660.90 OUP reading books to support and encourage home </w:t>
            </w:r>
            <w:proofErr w:type="gramStart"/>
            <w:r w:rsidR="00C04208" w:rsidRPr="007C4C44">
              <w:rPr>
                <w:rFonts w:cs="Calibri"/>
                <w:i/>
                <w:iCs/>
                <w:sz w:val="20"/>
                <w:szCs w:val="20"/>
              </w:rPr>
              <w:t>reading</w:t>
            </w:r>
            <w:proofErr w:type="gramEnd"/>
          </w:p>
          <w:p w14:paraId="1178DB64" w14:textId="5A32677C" w:rsidR="00C04208" w:rsidRPr="005A448C" w:rsidRDefault="00C04208">
            <w:pPr>
              <w:pStyle w:val="TableRow"/>
              <w:rPr>
                <w:sz w:val="22"/>
                <w:szCs w:val="22"/>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704B7" w14:textId="77777777" w:rsidR="00BD1B7A" w:rsidRDefault="00BD1B7A">
            <w:pPr>
              <w:pStyle w:val="TableRowCentered"/>
              <w:jc w:val="left"/>
              <w:rPr>
                <w:sz w:val="22"/>
              </w:rPr>
            </w:pPr>
            <w:r>
              <w:rPr>
                <w:sz w:val="22"/>
              </w:rPr>
              <w:t>Parental engagement positively impacts upon pupils achieving targets and actively being engaged in school life.</w:t>
            </w:r>
          </w:p>
          <w:p w14:paraId="64853CDB" w14:textId="499CC8C4" w:rsidR="003410B2" w:rsidRDefault="003410B2" w:rsidP="00A84BB5">
            <w:pPr>
              <w:pStyle w:val="TableRowCentered"/>
              <w:jc w:val="left"/>
              <w:rPr>
                <w:sz w:val="22"/>
              </w:rPr>
            </w:pPr>
            <w:r>
              <w:rPr>
                <w:sz w:val="22"/>
              </w:rPr>
              <w:t>EEF Toolkit- Parental engagement (+4)</w:t>
            </w: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79DE" w14:textId="1EDBEA06" w:rsidR="00B539F9" w:rsidRDefault="00707EB2">
            <w:pPr>
              <w:pStyle w:val="TableRowCentered"/>
              <w:jc w:val="left"/>
              <w:rPr>
                <w:sz w:val="22"/>
              </w:rPr>
            </w:pPr>
            <w:r>
              <w:rPr>
                <w:sz w:val="22"/>
              </w:rPr>
              <w:t>5</w:t>
            </w:r>
          </w:p>
        </w:tc>
      </w:tr>
      <w:tr w:rsidR="007C4C44" w14:paraId="1CE37F2D" w14:textId="77777777" w:rsidTr="00691272">
        <w:tc>
          <w:tcPr>
            <w:tcW w:w="26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17E79" w14:textId="77777777" w:rsidR="00BD1B7A" w:rsidRDefault="007F0D87" w:rsidP="004F5032">
            <w:pPr>
              <w:suppressAutoHyphens w:val="0"/>
              <w:autoSpaceDN/>
              <w:spacing w:before="60" w:after="60" w:line="240" w:lineRule="auto"/>
              <w:ind w:left="29" w:right="57"/>
              <w:rPr>
                <w:sz w:val="22"/>
                <w:szCs w:val="22"/>
              </w:rPr>
            </w:pPr>
            <w:r>
              <w:rPr>
                <w:sz w:val="22"/>
                <w:szCs w:val="22"/>
              </w:rPr>
              <w:t xml:space="preserve">Subsidise school trips and </w:t>
            </w:r>
            <w:proofErr w:type="gramStart"/>
            <w:r>
              <w:rPr>
                <w:sz w:val="22"/>
                <w:szCs w:val="22"/>
              </w:rPr>
              <w:t>visits</w:t>
            </w:r>
            <w:proofErr w:type="gramEnd"/>
          </w:p>
          <w:p w14:paraId="47C06695" w14:textId="24776E13" w:rsidR="00707EB2" w:rsidRPr="00707EB2" w:rsidRDefault="00707EB2" w:rsidP="004F5032">
            <w:pPr>
              <w:suppressAutoHyphens w:val="0"/>
              <w:autoSpaceDN/>
              <w:spacing w:before="60" w:after="60" w:line="240" w:lineRule="auto"/>
              <w:ind w:left="29" w:right="57"/>
              <w:rPr>
                <w:i/>
                <w:iCs/>
                <w:sz w:val="20"/>
                <w:szCs w:val="20"/>
              </w:rPr>
            </w:pPr>
            <w:r>
              <w:rPr>
                <w:i/>
                <w:iCs/>
                <w:sz w:val="20"/>
                <w:szCs w:val="20"/>
              </w:rPr>
              <w:t>£1400</w:t>
            </w:r>
          </w:p>
          <w:p w14:paraId="4E957D78" w14:textId="1BEF83BF" w:rsidR="007F0D87" w:rsidRPr="007F0D87" w:rsidRDefault="007F0D87" w:rsidP="004F5032">
            <w:pPr>
              <w:suppressAutoHyphens w:val="0"/>
              <w:autoSpaceDN/>
              <w:spacing w:before="60" w:after="60" w:line="240" w:lineRule="auto"/>
              <w:ind w:left="29" w:right="57"/>
              <w:rPr>
                <w:sz w:val="22"/>
                <w:szCs w:val="22"/>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0FBA1" w14:textId="77777777" w:rsidR="00BD1B7A" w:rsidRDefault="000944CB" w:rsidP="00BD1B7A">
            <w:pPr>
              <w:pStyle w:val="TableRowCentered"/>
              <w:jc w:val="left"/>
              <w:rPr>
                <w:sz w:val="22"/>
              </w:rPr>
            </w:pPr>
            <w:r>
              <w:rPr>
                <w:sz w:val="22"/>
              </w:rPr>
              <w:t xml:space="preserve">Trial Project EEF based on trip out boosts writing by 9+ </w:t>
            </w:r>
            <w:proofErr w:type="gramStart"/>
            <w:r>
              <w:rPr>
                <w:sz w:val="22"/>
              </w:rPr>
              <w:t>months</w:t>
            </w:r>
            <w:proofErr w:type="gramEnd"/>
          </w:p>
          <w:p w14:paraId="57FB494C" w14:textId="49DA728F" w:rsidR="000944CB" w:rsidRDefault="000944CB" w:rsidP="00BD1B7A">
            <w:pPr>
              <w:pStyle w:val="TableRowCentered"/>
              <w:jc w:val="left"/>
              <w:rPr>
                <w:sz w:val="22"/>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7C73E" w14:textId="531EFAF1" w:rsidR="00BD1B7A" w:rsidRDefault="00BD1B7A" w:rsidP="00BD1B7A">
            <w:pPr>
              <w:pStyle w:val="TableRowCentered"/>
              <w:jc w:val="left"/>
              <w:rPr>
                <w:sz w:val="22"/>
              </w:rPr>
            </w:pPr>
            <w:r w:rsidRPr="00E27862">
              <w:rPr>
                <w:color w:val="auto"/>
                <w:sz w:val="22"/>
              </w:rPr>
              <w:t>All</w:t>
            </w:r>
          </w:p>
        </w:tc>
      </w:tr>
    </w:tbl>
    <w:p w14:paraId="2A7D5540" w14:textId="77777777" w:rsidR="00E66558" w:rsidRDefault="00E66558">
      <w:pPr>
        <w:spacing w:before="240" w:after="0"/>
        <w:rPr>
          <w:b/>
          <w:bCs/>
          <w:color w:val="104F75"/>
          <w:sz w:val="28"/>
          <w:szCs w:val="28"/>
        </w:rPr>
      </w:pPr>
    </w:p>
    <w:p w14:paraId="2A7D5541" w14:textId="2C463744" w:rsidR="00E66558" w:rsidRDefault="009D71E8" w:rsidP="00120AB1">
      <w:r>
        <w:rPr>
          <w:b/>
          <w:bCs/>
          <w:color w:val="104F75"/>
          <w:sz w:val="28"/>
          <w:szCs w:val="28"/>
        </w:rPr>
        <w:t xml:space="preserve">Total budgeted cost: </w:t>
      </w:r>
      <w:r w:rsidR="00AD7D64">
        <w:rPr>
          <w:b/>
          <w:bCs/>
          <w:color w:val="104F75"/>
          <w:sz w:val="28"/>
          <w:szCs w:val="28"/>
        </w:rPr>
        <w:t>2023-2024=</w:t>
      </w:r>
      <w:r>
        <w:rPr>
          <w:b/>
          <w:bCs/>
          <w:color w:val="104F75"/>
          <w:sz w:val="28"/>
          <w:szCs w:val="28"/>
        </w:rPr>
        <w:t>£</w:t>
      </w:r>
      <w:r w:rsidR="00E747C9">
        <w:rPr>
          <w:b/>
          <w:bCs/>
          <w:color w:val="104F75"/>
          <w:sz w:val="28"/>
          <w:szCs w:val="28"/>
        </w:rPr>
        <w:t>76907.40</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563CA500" w:rsidR="00E66558" w:rsidRDefault="00E66558"/>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4935CCB9" w:rsidR="000D3D95" w:rsidRDefault="007D1740" w:rsidP="004B66A9">
            <w:pPr>
              <w:spacing w:after="0"/>
            </w:pPr>
            <w:r>
              <w:t xml:space="preserve">2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3"/>
        <w:gridCol w:w="4673"/>
      </w:tblGrid>
      <w:tr w:rsidR="00E66558" w14:paraId="2A7D554C" w14:textId="77777777" w:rsidTr="00892448">
        <w:tc>
          <w:tcPr>
            <w:tcW w:w="481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2A60DF" w14:paraId="087D497C" w14:textId="77777777" w:rsidTr="00892448">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4C2C" w14:textId="62326E85" w:rsidR="002A60DF" w:rsidRDefault="00892448">
            <w:pPr>
              <w:pStyle w:val="TableRow"/>
            </w:pPr>
            <w:r>
              <w:t>Power Maths</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01D6" w14:textId="6E483BA2" w:rsidR="002A60DF" w:rsidRDefault="00892448">
            <w:pPr>
              <w:pStyle w:val="TableRowCentered"/>
              <w:jc w:val="left"/>
            </w:pPr>
            <w:r>
              <w:t>Pearson</w:t>
            </w:r>
          </w:p>
        </w:tc>
      </w:tr>
      <w:tr w:rsidR="002A60DF" w14:paraId="49B6B5D3" w14:textId="77777777" w:rsidTr="00892448">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D0F1" w14:textId="6F382B1B" w:rsidR="002A60DF" w:rsidRDefault="002A60DF">
            <w:pPr>
              <w:pStyle w:val="TableRow"/>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A9BC6" w14:textId="6424B4C7" w:rsidR="002A60DF" w:rsidRDefault="002A60DF">
            <w:pPr>
              <w:pStyle w:val="TableRowCentered"/>
              <w:jc w:val="left"/>
            </w:pPr>
          </w:p>
        </w:tc>
      </w:tr>
      <w:tr w:rsidR="002A60DF" w14:paraId="2C9CA5AD" w14:textId="77777777" w:rsidTr="00892448">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5CE06" w14:textId="58DA8B77" w:rsidR="002A60DF" w:rsidRDefault="002A60DF">
            <w:pPr>
              <w:pStyle w:val="TableRow"/>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D76A0" w14:textId="53253A5B" w:rsidR="002A60DF" w:rsidRDefault="002A60DF">
            <w:pPr>
              <w:pStyle w:val="TableRowCentered"/>
              <w:jc w:val="left"/>
            </w:pPr>
          </w:p>
        </w:tc>
      </w:tr>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0"/>
      <w:bookmarkEnd w:id="15"/>
      <w:bookmarkEnd w:id="16"/>
      <w:bookmarkEnd w:id="17"/>
    </w:tbl>
    <w:p w14:paraId="2A7D5564" w14:textId="77777777" w:rsidR="00E66558" w:rsidRDefault="00E66558"/>
    <w:sectPr w:rsidR="00E66558" w:rsidSect="00E4325E">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409B1" w14:textId="77777777" w:rsidR="006F0C7C" w:rsidRDefault="006F0C7C">
      <w:pPr>
        <w:spacing w:after="0" w:line="240" w:lineRule="auto"/>
      </w:pPr>
      <w:r>
        <w:separator/>
      </w:r>
    </w:p>
  </w:endnote>
  <w:endnote w:type="continuationSeparator" w:id="0">
    <w:p w14:paraId="45531C93" w14:textId="77777777" w:rsidR="006F0C7C" w:rsidRDefault="006F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E25E28"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8714" w14:textId="77777777" w:rsidR="006F0C7C" w:rsidRDefault="006F0C7C">
      <w:pPr>
        <w:spacing w:after="0" w:line="240" w:lineRule="auto"/>
      </w:pPr>
      <w:r>
        <w:separator/>
      </w:r>
    </w:p>
  </w:footnote>
  <w:footnote w:type="continuationSeparator" w:id="0">
    <w:p w14:paraId="2C696F19" w14:textId="77777777" w:rsidR="006F0C7C" w:rsidRDefault="006F0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A2C6DCC"/>
    <w:multiLevelType w:val="hybridMultilevel"/>
    <w:tmpl w:val="F03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6155606"/>
    <w:multiLevelType w:val="hybridMultilevel"/>
    <w:tmpl w:val="D5083D5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0A5444"/>
    <w:multiLevelType w:val="hybridMultilevel"/>
    <w:tmpl w:val="D5DE3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9E52768"/>
    <w:multiLevelType w:val="hybridMultilevel"/>
    <w:tmpl w:val="D4FC83F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853104960">
    <w:abstractNumId w:val="3"/>
  </w:num>
  <w:num w:numId="2" w16cid:durableId="378168044">
    <w:abstractNumId w:val="1"/>
  </w:num>
  <w:num w:numId="3" w16cid:durableId="8140409">
    <w:abstractNumId w:val="4"/>
  </w:num>
  <w:num w:numId="4" w16cid:durableId="1458452769">
    <w:abstractNumId w:val="5"/>
  </w:num>
  <w:num w:numId="5" w16cid:durableId="1234119380">
    <w:abstractNumId w:val="0"/>
  </w:num>
  <w:num w:numId="6" w16cid:durableId="1177498747">
    <w:abstractNumId w:val="8"/>
  </w:num>
  <w:num w:numId="7" w16cid:durableId="117535441">
    <w:abstractNumId w:val="12"/>
  </w:num>
  <w:num w:numId="8" w16cid:durableId="1924795254">
    <w:abstractNumId w:val="16"/>
  </w:num>
  <w:num w:numId="9" w16cid:durableId="395860333">
    <w:abstractNumId w:val="14"/>
  </w:num>
  <w:num w:numId="10" w16cid:durableId="1047680699">
    <w:abstractNumId w:val="13"/>
  </w:num>
  <w:num w:numId="11" w16cid:durableId="132992546">
    <w:abstractNumId w:val="2"/>
  </w:num>
  <w:num w:numId="12" w16cid:durableId="63571561">
    <w:abstractNumId w:val="15"/>
  </w:num>
  <w:num w:numId="13" w16cid:durableId="134029842">
    <w:abstractNumId w:val="11"/>
  </w:num>
  <w:num w:numId="14" w16cid:durableId="1859276711">
    <w:abstractNumId w:val="10"/>
  </w:num>
  <w:num w:numId="15" w16cid:durableId="205604455">
    <w:abstractNumId w:val="17"/>
  </w:num>
  <w:num w:numId="16" w16cid:durableId="973366741">
    <w:abstractNumId w:val="7"/>
  </w:num>
  <w:num w:numId="17" w16cid:durableId="1294755227">
    <w:abstractNumId w:val="6"/>
  </w:num>
  <w:num w:numId="18" w16cid:durableId="80683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167D8"/>
    <w:rsid w:val="00066B73"/>
    <w:rsid w:val="00085CB2"/>
    <w:rsid w:val="000944CB"/>
    <w:rsid w:val="00094B45"/>
    <w:rsid w:val="000A1850"/>
    <w:rsid w:val="000B7598"/>
    <w:rsid w:val="000D0795"/>
    <w:rsid w:val="000D3D95"/>
    <w:rsid w:val="000E262B"/>
    <w:rsid w:val="000F0E58"/>
    <w:rsid w:val="001022E0"/>
    <w:rsid w:val="00104D77"/>
    <w:rsid w:val="00106C68"/>
    <w:rsid w:val="00120AB1"/>
    <w:rsid w:val="001456F5"/>
    <w:rsid w:val="001529D4"/>
    <w:rsid w:val="001800B0"/>
    <w:rsid w:val="001852F6"/>
    <w:rsid w:val="00190729"/>
    <w:rsid w:val="00191FF7"/>
    <w:rsid w:val="001B7AF2"/>
    <w:rsid w:val="001D280A"/>
    <w:rsid w:val="001D3162"/>
    <w:rsid w:val="001F0342"/>
    <w:rsid w:val="00234E85"/>
    <w:rsid w:val="00254C26"/>
    <w:rsid w:val="0027064A"/>
    <w:rsid w:val="002868E0"/>
    <w:rsid w:val="00296C21"/>
    <w:rsid w:val="002A60DF"/>
    <w:rsid w:val="002D5961"/>
    <w:rsid w:val="002E644B"/>
    <w:rsid w:val="002E7557"/>
    <w:rsid w:val="002F3F2B"/>
    <w:rsid w:val="00311BF7"/>
    <w:rsid w:val="00334D64"/>
    <w:rsid w:val="0034075B"/>
    <w:rsid w:val="003410B2"/>
    <w:rsid w:val="003639BC"/>
    <w:rsid w:val="00364806"/>
    <w:rsid w:val="00365145"/>
    <w:rsid w:val="00372ABC"/>
    <w:rsid w:val="003777C1"/>
    <w:rsid w:val="0038417C"/>
    <w:rsid w:val="00394066"/>
    <w:rsid w:val="00394467"/>
    <w:rsid w:val="003A4355"/>
    <w:rsid w:val="003C0FE8"/>
    <w:rsid w:val="003C5B0A"/>
    <w:rsid w:val="004044AA"/>
    <w:rsid w:val="00416856"/>
    <w:rsid w:val="0042296E"/>
    <w:rsid w:val="00423B14"/>
    <w:rsid w:val="004355CA"/>
    <w:rsid w:val="004376AF"/>
    <w:rsid w:val="004471D8"/>
    <w:rsid w:val="004512F6"/>
    <w:rsid w:val="004859F8"/>
    <w:rsid w:val="004864E8"/>
    <w:rsid w:val="004B1A74"/>
    <w:rsid w:val="004B66A9"/>
    <w:rsid w:val="004F30FF"/>
    <w:rsid w:val="004F5032"/>
    <w:rsid w:val="00503C4D"/>
    <w:rsid w:val="00523402"/>
    <w:rsid w:val="00532153"/>
    <w:rsid w:val="00552C15"/>
    <w:rsid w:val="005618C4"/>
    <w:rsid w:val="00567ADB"/>
    <w:rsid w:val="005779D5"/>
    <w:rsid w:val="00583930"/>
    <w:rsid w:val="00595BAD"/>
    <w:rsid w:val="005A448C"/>
    <w:rsid w:val="005A5137"/>
    <w:rsid w:val="005D55C7"/>
    <w:rsid w:val="005E2FFF"/>
    <w:rsid w:val="00633FC7"/>
    <w:rsid w:val="00645264"/>
    <w:rsid w:val="00676127"/>
    <w:rsid w:val="006770AD"/>
    <w:rsid w:val="00685047"/>
    <w:rsid w:val="006904CC"/>
    <w:rsid w:val="00691272"/>
    <w:rsid w:val="00691A3E"/>
    <w:rsid w:val="006D0FF0"/>
    <w:rsid w:val="006D167A"/>
    <w:rsid w:val="006E30CF"/>
    <w:rsid w:val="006E7FB1"/>
    <w:rsid w:val="006F0C7C"/>
    <w:rsid w:val="00707EB2"/>
    <w:rsid w:val="007121E8"/>
    <w:rsid w:val="00715C34"/>
    <w:rsid w:val="00732F07"/>
    <w:rsid w:val="00741B9E"/>
    <w:rsid w:val="007440AB"/>
    <w:rsid w:val="007970AE"/>
    <w:rsid w:val="007C2F04"/>
    <w:rsid w:val="007C4C44"/>
    <w:rsid w:val="007C5F8B"/>
    <w:rsid w:val="007D1740"/>
    <w:rsid w:val="007E43A1"/>
    <w:rsid w:val="007F0D87"/>
    <w:rsid w:val="00802D70"/>
    <w:rsid w:val="008075F2"/>
    <w:rsid w:val="0081060B"/>
    <w:rsid w:val="0081115D"/>
    <w:rsid w:val="00816C06"/>
    <w:rsid w:val="00820013"/>
    <w:rsid w:val="00821D3F"/>
    <w:rsid w:val="008245ED"/>
    <w:rsid w:val="008259CC"/>
    <w:rsid w:val="00830359"/>
    <w:rsid w:val="00835211"/>
    <w:rsid w:val="00873785"/>
    <w:rsid w:val="00892448"/>
    <w:rsid w:val="008A6466"/>
    <w:rsid w:val="009551E7"/>
    <w:rsid w:val="00970F57"/>
    <w:rsid w:val="00980B7C"/>
    <w:rsid w:val="009B6B81"/>
    <w:rsid w:val="009C20E7"/>
    <w:rsid w:val="009C2105"/>
    <w:rsid w:val="009D18D3"/>
    <w:rsid w:val="009D3397"/>
    <w:rsid w:val="009D71E8"/>
    <w:rsid w:val="009E279A"/>
    <w:rsid w:val="009F5ECB"/>
    <w:rsid w:val="00A02001"/>
    <w:rsid w:val="00A21845"/>
    <w:rsid w:val="00A84BB5"/>
    <w:rsid w:val="00A85AA1"/>
    <w:rsid w:val="00A86D9E"/>
    <w:rsid w:val="00A9408D"/>
    <w:rsid w:val="00AB005D"/>
    <w:rsid w:val="00AB7D47"/>
    <w:rsid w:val="00AD7D64"/>
    <w:rsid w:val="00AF09B0"/>
    <w:rsid w:val="00AF43EC"/>
    <w:rsid w:val="00B02298"/>
    <w:rsid w:val="00B14EA9"/>
    <w:rsid w:val="00B1601C"/>
    <w:rsid w:val="00B2325B"/>
    <w:rsid w:val="00B2579A"/>
    <w:rsid w:val="00B26FEB"/>
    <w:rsid w:val="00B33F6E"/>
    <w:rsid w:val="00B358C3"/>
    <w:rsid w:val="00B41210"/>
    <w:rsid w:val="00B52FCF"/>
    <w:rsid w:val="00B539F9"/>
    <w:rsid w:val="00B672F3"/>
    <w:rsid w:val="00B75263"/>
    <w:rsid w:val="00B80073"/>
    <w:rsid w:val="00BA44F7"/>
    <w:rsid w:val="00BB1485"/>
    <w:rsid w:val="00BC539A"/>
    <w:rsid w:val="00BD1B7A"/>
    <w:rsid w:val="00BE2B94"/>
    <w:rsid w:val="00BF36A9"/>
    <w:rsid w:val="00BF56ED"/>
    <w:rsid w:val="00BF6396"/>
    <w:rsid w:val="00C04208"/>
    <w:rsid w:val="00C11B0C"/>
    <w:rsid w:val="00C222E7"/>
    <w:rsid w:val="00C430F2"/>
    <w:rsid w:val="00C66731"/>
    <w:rsid w:val="00C70DF6"/>
    <w:rsid w:val="00C9723A"/>
    <w:rsid w:val="00CC65C5"/>
    <w:rsid w:val="00CC7920"/>
    <w:rsid w:val="00CD012A"/>
    <w:rsid w:val="00CF30E3"/>
    <w:rsid w:val="00D164B7"/>
    <w:rsid w:val="00D17457"/>
    <w:rsid w:val="00D33FE5"/>
    <w:rsid w:val="00D428CE"/>
    <w:rsid w:val="00D74C3E"/>
    <w:rsid w:val="00D80E9B"/>
    <w:rsid w:val="00D95499"/>
    <w:rsid w:val="00DA70F2"/>
    <w:rsid w:val="00E00544"/>
    <w:rsid w:val="00E15D08"/>
    <w:rsid w:val="00E25E28"/>
    <w:rsid w:val="00E3233E"/>
    <w:rsid w:val="00E323C0"/>
    <w:rsid w:val="00E4126E"/>
    <w:rsid w:val="00E4325E"/>
    <w:rsid w:val="00E45387"/>
    <w:rsid w:val="00E556EC"/>
    <w:rsid w:val="00E66558"/>
    <w:rsid w:val="00E747C9"/>
    <w:rsid w:val="00EC2C7D"/>
    <w:rsid w:val="00EE68B6"/>
    <w:rsid w:val="00EF6F8A"/>
    <w:rsid w:val="00F04084"/>
    <w:rsid w:val="00F36269"/>
    <w:rsid w:val="00F54D1A"/>
    <w:rsid w:val="00F55732"/>
    <w:rsid w:val="00F8085E"/>
    <w:rsid w:val="00F93A77"/>
    <w:rsid w:val="00FB3BB4"/>
    <w:rsid w:val="00FD4FA0"/>
    <w:rsid w:val="00FE1F77"/>
    <w:rsid w:val="00FE2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1225856C-5FE0-456B-98ED-6157ABBB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1994</Words>
  <Characters>11372</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DfE external document template</vt:lpstr>
      <vt:lpstr>Pupil premium strategy statement </vt:lpstr>
      <vt:lpstr>    This statement details our school’s use of pupil premium and recovery premium fu</vt:lpstr>
      <vt:lpstr>    It outlines our pupil premium strategy, how we intend to spend the funding in th</vt:lpstr>
      <vt:lpstr>    School overview (UPDATED SEPT 2023)</vt:lpstr>
      <vt:lpstr>Part A: Pupil premium strategy plan</vt:lpstr>
      <vt:lpstr>    Statement of intent</vt:lpstr>
      <vt:lpstr>    Challenges</vt:lpstr>
      <vt:lpstr>This details the key challenges to achievement that we have identified among our</vt:lpstr>
      <vt:lpstr>    Intended outcomes </vt:lpstr>
      <vt:lpstr>    </vt:lpstr>
      <vt:lpstr>    Activity in this academic year</vt:lpstr>
      <vt:lpstr>        Teaching (for example, CPD, recruitment and retention)</vt:lpstr>
      <vt:lpstr>    </vt:lpstr>
      <vt:lpstr>    </vt:lpstr>
      <vt:lpstr>Part B: Review of outcomes in the previous academic year</vt:lpstr>
      <vt:lpstr>    Pupil premium strategy outcomes</vt:lpstr>
      <vt:lpstr>    Externally provided programmes</vt:lpstr>
      <vt:lpstr>Further information (optional)</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Weston Point - Head Teacher</cp:lastModifiedBy>
  <cp:revision>2</cp:revision>
  <cp:lastPrinted>2023-11-15T12:32:00Z</cp:lastPrinted>
  <dcterms:created xsi:type="dcterms:W3CDTF">2024-01-28T21:43:00Z</dcterms:created>
  <dcterms:modified xsi:type="dcterms:W3CDTF">2024-01-28T21:43:00Z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